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0EC8" w14:textId="243DC3BC" w:rsidR="006252C3" w:rsidRPr="00643D02" w:rsidRDefault="00B166AD" w:rsidP="00643D02">
      <w:pPr>
        <w:widowControl w:val="0"/>
        <w:autoSpaceDE w:val="0"/>
        <w:autoSpaceDN w:val="0"/>
        <w:adjustRightInd w:val="0"/>
        <w:rPr>
          <w:rFonts w:cs="Calibri"/>
          <w:color w:val="244061" w:themeColor="accent1" w:themeShade="80"/>
          <w:sz w:val="36"/>
          <w:szCs w:val="36"/>
        </w:rPr>
      </w:pPr>
      <w:r w:rsidRPr="00643D02">
        <w:rPr>
          <w:noProof/>
          <w:color w:val="244061" w:themeColor="accent1" w:themeShade="80"/>
          <w:sz w:val="36"/>
          <w:szCs w:val="36"/>
        </w:rPr>
        <w:drawing>
          <wp:anchor distT="0" distB="0" distL="114300" distR="114300" simplePos="0" relativeHeight="251659264" behindDoc="0" locked="0" layoutInCell="1" allowOverlap="1" wp14:anchorId="33FC0D4F" wp14:editId="2B1C3794">
            <wp:simplePos x="0" y="0"/>
            <wp:positionH relativeFrom="rightMargin">
              <wp:posOffset>-248285</wp:posOffset>
            </wp:positionH>
            <wp:positionV relativeFrom="paragraph">
              <wp:posOffset>-614046</wp:posOffset>
            </wp:positionV>
            <wp:extent cx="775335" cy="977443"/>
            <wp:effectExtent l="0" t="0" r="5715"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key_logo_2012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5775" cy="977997"/>
                    </a:xfrm>
                    <a:prstGeom prst="rect">
                      <a:avLst/>
                    </a:prstGeom>
                  </pic:spPr>
                </pic:pic>
              </a:graphicData>
            </a:graphic>
            <wp14:sizeRelH relativeFrom="page">
              <wp14:pctWidth>0</wp14:pctWidth>
            </wp14:sizeRelH>
            <wp14:sizeRelV relativeFrom="page">
              <wp14:pctHeight>0</wp14:pctHeight>
            </wp14:sizeRelV>
          </wp:anchor>
        </w:drawing>
      </w:r>
      <w:r w:rsidR="0026492C" w:rsidRPr="00643D02">
        <w:rPr>
          <w:b/>
          <w:bCs/>
          <w:color w:val="244061" w:themeColor="accent1" w:themeShade="80"/>
          <w:sz w:val="36"/>
          <w:szCs w:val="36"/>
        </w:rPr>
        <w:t>V</w:t>
      </w:r>
      <w:r w:rsidR="00751E0C" w:rsidRPr="00643D02">
        <w:rPr>
          <w:b/>
          <w:bCs/>
          <w:color w:val="244061" w:themeColor="accent1" w:themeShade="80"/>
          <w:sz w:val="36"/>
          <w:szCs w:val="36"/>
        </w:rPr>
        <w:t>erklar</w:t>
      </w:r>
      <w:r w:rsidR="00544033" w:rsidRPr="00643D02">
        <w:rPr>
          <w:b/>
          <w:bCs/>
          <w:color w:val="244061" w:themeColor="accent1" w:themeShade="80"/>
          <w:sz w:val="36"/>
          <w:szCs w:val="36"/>
        </w:rPr>
        <w:t xml:space="preserve">ing voldoen aan </w:t>
      </w:r>
      <w:r w:rsidR="00624D1B">
        <w:rPr>
          <w:b/>
          <w:bCs/>
          <w:color w:val="244061" w:themeColor="accent1" w:themeShade="80"/>
          <w:sz w:val="36"/>
          <w:szCs w:val="36"/>
        </w:rPr>
        <w:t xml:space="preserve">relevantie </w:t>
      </w:r>
      <w:r w:rsidR="00544033" w:rsidRPr="00643D02">
        <w:rPr>
          <w:b/>
          <w:bCs/>
          <w:color w:val="244061" w:themeColor="accent1" w:themeShade="80"/>
          <w:sz w:val="36"/>
          <w:szCs w:val="36"/>
        </w:rPr>
        <w:t>Wet</w:t>
      </w:r>
      <w:r w:rsidR="001C70F4" w:rsidRPr="00643D02">
        <w:rPr>
          <w:b/>
          <w:bCs/>
          <w:color w:val="244061" w:themeColor="accent1" w:themeShade="80"/>
          <w:sz w:val="36"/>
          <w:szCs w:val="36"/>
        </w:rPr>
        <w:t xml:space="preserve">- </w:t>
      </w:r>
      <w:r w:rsidR="00544033" w:rsidRPr="00643D02">
        <w:rPr>
          <w:b/>
          <w:bCs/>
          <w:color w:val="244061" w:themeColor="accent1" w:themeShade="80"/>
          <w:sz w:val="36"/>
          <w:szCs w:val="36"/>
        </w:rPr>
        <w:t>&amp;</w:t>
      </w:r>
      <w:r w:rsidR="001A75E8" w:rsidRPr="00643D02">
        <w:rPr>
          <w:b/>
          <w:bCs/>
          <w:color w:val="244061" w:themeColor="accent1" w:themeShade="80"/>
          <w:sz w:val="36"/>
          <w:szCs w:val="36"/>
        </w:rPr>
        <w:t xml:space="preserve"> </w:t>
      </w:r>
      <w:r w:rsidR="00643D02">
        <w:rPr>
          <w:b/>
          <w:bCs/>
          <w:color w:val="244061" w:themeColor="accent1" w:themeShade="80"/>
          <w:sz w:val="36"/>
          <w:szCs w:val="36"/>
        </w:rPr>
        <w:t>r</w:t>
      </w:r>
      <w:r w:rsidR="00544033" w:rsidRPr="00643D02">
        <w:rPr>
          <w:b/>
          <w:bCs/>
          <w:color w:val="244061" w:themeColor="accent1" w:themeShade="80"/>
          <w:sz w:val="36"/>
          <w:szCs w:val="36"/>
        </w:rPr>
        <w:t>egelgeving</w:t>
      </w:r>
    </w:p>
    <w:p w14:paraId="10D4F401" w14:textId="1E8C65AC" w:rsidR="00643D02" w:rsidRDefault="001C70F4" w:rsidP="00643D02">
      <w:pPr>
        <w:widowControl w:val="0"/>
        <w:autoSpaceDE w:val="0"/>
        <w:autoSpaceDN w:val="0"/>
        <w:adjustRightInd w:val="0"/>
        <w:rPr>
          <w:rFonts w:cs="Calibri"/>
        </w:rPr>
      </w:pPr>
      <w:r w:rsidRPr="002A764E">
        <w:rPr>
          <w:rFonts w:cs="Calibri"/>
        </w:rPr>
        <w:t>Op basis van dit document stelt u d</w:t>
      </w:r>
      <w:r w:rsidR="00B95AD8" w:rsidRPr="002A764E">
        <w:rPr>
          <w:rFonts w:cs="Calibri"/>
        </w:rPr>
        <w:t xml:space="preserve">e aansluiting </w:t>
      </w:r>
      <w:r w:rsidRPr="002A764E">
        <w:rPr>
          <w:rFonts w:cs="Calibri"/>
        </w:rPr>
        <w:t xml:space="preserve">vast tussen uw organisatie en </w:t>
      </w:r>
      <w:r w:rsidR="001A75E8" w:rsidRPr="002A764E">
        <w:rPr>
          <w:rFonts w:cs="Calibri"/>
        </w:rPr>
        <w:t xml:space="preserve">de voor uw organisatie relevantie </w:t>
      </w:r>
      <w:r w:rsidRPr="002A764E">
        <w:rPr>
          <w:rFonts w:cs="Calibri"/>
        </w:rPr>
        <w:t>w</w:t>
      </w:r>
      <w:r w:rsidR="00B95AD8" w:rsidRPr="002A764E">
        <w:rPr>
          <w:rFonts w:cs="Calibri"/>
        </w:rPr>
        <w:t>et</w:t>
      </w:r>
      <w:r w:rsidRPr="002A764E">
        <w:rPr>
          <w:rFonts w:cs="Calibri"/>
        </w:rPr>
        <w:t>- en r</w:t>
      </w:r>
      <w:r w:rsidR="00B95AD8" w:rsidRPr="002A764E">
        <w:rPr>
          <w:rFonts w:cs="Calibri"/>
        </w:rPr>
        <w:t>egelgeving</w:t>
      </w:r>
      <w:r w:rsidR="001A75E8" w:rsidRPr="002A764E">
        <w:rPr>
          <w:rFonts w:cs="Calibri"/>
        </w:rPr>
        <w:t xml:space="preserve">. </w:t>
      </w:r>
    </w:p>
    <w:p w14:paraId="0B2546C3" w14:textId="08538A9B" w:rsidR="00643D02" w:rsidRDefault="00643D02" w:rsidP="00624D1B">
      <w:pPr>
        <w:widowControl w:val="0"/>
        <w:autoSpaceDE w:val="0"/>
        <w:autoSpaceDN w:val="0"/>
        <w:adjustRightInd w:val="0"/>
        <w:spacing w:after="0"/>
        <w:rPr>
          <w:rFonts w:cs="Calibri"/>
        </w:rPr>
      </w:pPr>
      <w:r>
        <w:rPr>
          <w:rFonts w:cs="Calibri"/>
        </w:rPr>
        <w:t xml:space="preserve">Stap 1: Vul </w:t>
      </w:r>
      <w:r w:rsidRPr="002C063B">
        <w:rPr>
          <w:rFonts w:cs="Calibri"/>
        </w:rPr>
        <w:t>bij A.</w:t>
      </w:r>
      <w:r w:rsidRPr="00624D1B">
        <w:rPr>
          <w:rFonts w:cs="Calibri"/>
          <w:b/>
          <w:bCs/>
        </w:rPr>
        <w:t xml:space="preserve"> Inventarisatie relevante Wet- en regelgeving</w:t>
      </w:r>
      <w:r w:rsidR="00624D1B">
        <w:rPr>
          <w:rFonts w:cs="Calibri"/>
        </w:rPr>
        <w:t xml:space="preserve"> per onderdeel de bijbehorende kolommen in zoals hieronder aangegeven;</w:t>
      </w:r>
    </w:p>
    <w:p w14:paraId="07F91675" w14:textId="2C84B01D" w:rsidR="00624D1B" w:rsidRDefault="00624D1B" w:rsidP="00624D1B">
      <w:pPr>
        <w:widowControl w:val="0"/>
        <w:autoSpaceDE w:val="0"/>
        <w:autoSpaceDN w:val="0"/>
        <w:adjustRightInd w:val="0"/>
        <w:spacing w:after="0"/>
        <w:rPr>
          <w:rFonts w:cs="Calibri"/>
        </w:rPr>
      </w:pPr>
      <w:r>
        <w:rPr>
          <w:rFonts w:cs="Calibri"/>
        </w:rPr>
        <w:t xml:space="preserve">Stap 2: Noteer bij B. </w:t>
      </w:r>
      <w:r w:rsidRPr="00624D1B">
        <w:rPr>
          <w:rFonts w:cs="Calibri"/>
          <w:b/>
          <w:bCs/>
        </w:rPr>
        <w:t xml:space="preserve">Verklaring voldoen aan Wet- </w:t>
      </w:r>
      <w:r>
        <w:rPr>
          <w:rFonts w:cs="Calibri"/>
          <w:b/>
          <w:bCs/>
        </w:rPr>
        <w:t>en</w:t>
      </w:r>
      <w:r w:rsidRPr="00624D1B">
        <w:rPr>
          <w:rFonts w:cs="Calibri"/>
          <w:b/>
          <w:bCs/>
        </w:rPr>
        <w:t xml:space="preserve"> </w:t>
      </w:r>
      <w:r>
        <w:rPr>
          <w:rFonts w:cs="Calibri"/>
          <w:b/>
          <w:bCs/>
        </w:rPr>
        <w:t>r</w:t>
      </w:r>
      <w:r w:rsidRPr="00624D1B">
        <w:rPr>
          <w:rFonts w:cs="Calibri"/>
          <w:b/>
          <w:bCs/>
        </w:rPr>
        <w:t>egelgeving</w:t>
      </w:r>
      <w:r>
        <w:rPr>
          <w:rFonts w:cs="Calibri"/>
        </w:rPr>
        <w:t xml:space="preserve"> (op de laatste pagina) de gevraagde gegevens in.</w:t>
      </w:r>
    </w:p>
    <w:p w14:paraId="14F8BE40" w14:textId="25A75D9E" w:rsidR="00624D1B" w:rsidRDefault="00624D1B" w:rsidP="00624D1B">
      <w:pPr>
        <w:widowControl w:val="0"/>
        <w:autoSpaceDE w:val="0"/>
        <w:autoSpaceDN w:val="0"/>
        <w:adjustRightInd w:val="0"/>
        <w:spacing w:after="0"/>
        <w:rPr>
          <w:rFonts w:cs="Calibri"/>
        </w:rPr>
      </w:pPr>
    </w:p>
    <w:p w14:paraId="20BF2B00" w14:textId="3D75DEA1" w:rsidR="00624D1B" w:rsidRPr="00643D02" w:rsidRDefault="00624D1B" w:rsidP="00624D1B">
      <w:pPr>
        <w:widowControl w:val="0"/>
        <w:autoSpaceDE w:val="0"/>
        <w:autoSpaceDN w:val="0"/>
        <w:adjustRightInd w:val="0"/>
        <w:spacing w:after="0"/>
        <w:rPr>
          <w:rFonts w:cs="Calibri"/>
        </w:rPr>
      </w:pPr>
      <w:r>
        <w:rPr>
          <w:rFonts w:cs="Calibri"/>
        </w:rPr>
        <w:t>Stap 1:</w:t>
      </w:r>
    </w:p>
    <w:p w14:paraId="0BEACB38" w14:textId="383CECC8" w:rsidR="0035022B" w:rsidRPr="00643D02" w:rsidRDefault="0035022B" w:rsidP="0035022B">
      <w:pPr>
        <w:pStyle w:val="Lijstalinea"/>
        <w:widowControl w:val="0"/>
        <w:numPr>
          <w:ilvl w:val="0"/>
          <w:numId w:val="13"/>
        </w:numPr>
        <w:autoSpaceDE w:val="0"/>
        <w:autoSpaceDN w:val="0"/>
        <w:adjustRightInd w:val="0"/>
        <w:rPr>
          <w:rFonts w:cs="Calibri"/>
          <w:i/>
          <w:iCs/>
        </w:rPr>
      </w:pPr>
      <w:r w:rsidRPr="0035022B">
        <w:rPr>
          <w:rFonts w:cs="Calibri"/>
        </w:rPr>
        <w:t>Kolom A: Geef</w:t>
      </w:r>
      <w:r>
        <w:rPr>
          <w:rFonts w:cs="Calibri"/>
        </w:rPr>
        <w:t xml:space="preserve">, nadat u zich op de hoogte heeft gesteld van de inhoud van de wet- en regelgeving, </w:t>
      </w:r>
      <w:r w:rsidRPr="0035022B">
        <w:rPr>
          <w:rFonts w:cs="Calibri"/>
        </w:rPr>
        <w:t>aan of de wet-</w:t>
      </w:r>
      <w:r w:rsidR="00324646">
        <w:rPr>
          <w:rFonts w:cs="Calibri"/>
        </w:rPr>
        <w:t xml:space="preserve"> </w:t>
      </w:r>
      <w:r w:rsidRPr="0035022B">
        <w:rPr>
          <w:rFonts w:cs="Calibri"/>
        </w:rPr>
        <w:t>en regelgeving van toepassing</w:t>
      </w:r>
      <w:r>
        <w:rPr>
          <w:rFonts w:cs="Calibri"/>
        </w:rPr>
        <w:t xml:space="preserve"> is</w:t>
      </w:r>
      <w:r w:rsidR="00643D02">
        <w:rPr>
          <w:rFonts w:cs="Calibri"/>
        </w:rPr>
        <w:t xml:space="preserve"> op uw organisatie</w:t>
      </w:r>
      <w:r w:rsidRPr="0035022B">
        <w:rPr>
          <w:rFonts w:cs="Calibri"/>
        </w:rPr>
        <w:t>.</w:t>
      </w:r>
      <w:r>
        <w:rPr>
          <w:rFonts w:cs="Calibri"/>
        </w:rPr>
        <w:t xml:space="preserve"> </w:t>
      </w:r>
      <w:r w:rsidRPr="002C063B">
        <w:rPr>
          <w:rFonts w:cs="Calibri"/>
          <w:i/>
          <w:iCs/>
          <w:u w:val="single"/>
        </w:rPr>
        <w:t>In de regel met Wet- en regelgeving die op alle inrichtingen in Nederland van toepassing zijn staat reeds een Ja;</w:t>
      </w:r>
    </w:p>
    <w:p w14:paraId="7FF08B4E" w14:textId="48B55174" w:rsidR="0035022B" w:rsidRDefault="0035022B" w:rsidP="0035022B">
      <w:pPr>
        <w:pStyle w:val="Lijstalinea"/>
        <w:widowControl w:val="0"/>
        <w:numPr>
          <w:ilvl w:val="0"/>
          <w:numId w:val="13"/>
        </w:numPr>
        <w:autoSpaceDE w:val="0"/>
        <w:autoSpaceDN w:val="0"/>
        <w:adjustRightInd w:val="0"/>
        <w:rPr>
          <w:rFonts w:cs="Calibri"/>
        </w:rPr>
      </w:pPr>
      <w:r>
        <w:rPr>
          <w:rFonts w:cs="Calibri"/>
        </w:rPr>
        <w:t xml:space="preserve">Kolom B: Noteer of uw organisatie </w:t>
      </w:r>
      <w:r w:rsidRPr="0035022B">
        <w:rPr>
          <w:rFonts w:cs="Calibri"/>
        </w:rPr>
        <w:t xml:space="preserve">op het moment van de Green Key audit daadwerkelijk aan </w:t>
      </w:r>
      <w:r>
        <w:rPr>
          <w:rFonts w:cs="Calibri"/>
        </w:rPr>
        <w:t xml:space="preserve">de wet- en regelgeving </w:t>
      </w:r>
      <w:r w:rsidRPr="0035022B">
        <w:rPr>
          <w:rFonts w:cs="Calibri"/>
        </w:rPr>
        <w:t>voldoet</w:t>
      </w:r>
      <w:r>
        <w:rPr>
          <w:rFonts w:cs="Calibri"/>
        </w:rPr>
        <w:t xml:space="preserve"> en</w:t>
      </w:r>
      <w:r w:rsidR="00643D02">
        <w:rPr>
          <w:rFonts w:cs="Calibri"/>
        </w:rPr>
        <w:t>/of</w:t>
      </w:r>
      <w:r>
        <w:rPr>
          <w:rFonts w:cs="Calibri"/>
        </w:rPr>
        <w:t xml:space="preserve"> dat u een aanschrijving hebt ontvangen;</w:t>
      </w:r>
    </w:p>
    <w:p w14:paraId="6F02B351" w14:textId="5B1E15D9" w:rsidR="00643D02" w:rsidRPr="0035022B" w:rsidRDefault="00643D02" w:rsidP="0035022B">
      <w:pPr>
        <w:pStyle w:val="Lijstalinea"/>
        <w:widowControl w:val="0"/>
        <w:numPr>
          <w:ilvl w:val="0"/>
          <w:numId w:val="13"/>
        </w:numPr>
        <w:autoSpaceDE w:val="0"/>
        <w:autoSpaceDN w:val="0"/>
        <w:adjustRightInd w:val="0"/>
        <w:rPr>
          <w:rFonts w:cs="Calibri"/>
        </w:rPr>
      </w:pPr>
      <w:r>
        <w:rPr>
          <w:rFonts w:cs="Calibri"/>
        </w:rPr>
        <w:t xml:space="preserve">Kolom C: Benoem de actie die u </w:t>
      </w:r>
      <w:r w:rsidR="002C063B">
        <w:rPr>
          <w:rFonts w:cs="Calibri"/>
        </w:rPr>
        <w:t xml:space="preserve">(eventueel) </w:t>
      </w:r>
      <w:r>
        <w:rPr>
          <w:rFonts w:cs="Calibri"/>
        </w:rPr>
        <w:t xml:space="preserve">onderneemt of </w:t>
      </w:r>
      <w:r w:rsidR="002C063B">
        <w:rPr>
          <w:rFonts w:cs="Calibri"/>
        </w:rPr>
        <w:t xml:space="preserve">(eventueel) </w:t>
      </w:r>
      <w:r>
        <w:rPr>
          <w:rFonts w:cs="Calibri"/>
        </w:rPr>
        <w:t>nog dient te ondernemen om aan de wet- en regelgeving te (gaan) voldoen.</w:t>
      </w:r>
    </w:p>
    <w:p w14:paraId="0B220AF0" w14:textId="48A1541E" w:rsidR="00AB6D67" w:rsidRPr="002A764E" w:rsidRDefault="006252C3" w:rsidP="008F0B96">
      <w:pPr>
        <w:rPr>
          <w:b/>
        </w:rPr>
      </w:pPr>
      <w:r w:rsidRPr="002A764E">
        <w:rPr>
          <w:b/>
          <w:bCs/>
        </w:rPr>
        <w:t>A</w:t>
      </w:r>
      <w:r w:rsidR="00AB6D67" w:rsidRPr="002A764E">
        <w:rPr>
          <w:b/>
          <w:bCs/>
        </w:rPr>
        <w:t xml:space="preserve">. Inventarisatie relevante </w:t>
      </w:r>
      <w:r w:rsidR="001A75E8" w:rsidRPr="002A764E">
        <w:rPr>
          <w:b/>
          <w:bCs/>
        </w:rPr>
        <w:t>W</w:t>
      </w:r>
      <w:r w:rsidR="00AB6D67" w:rsidRPr="002A764E">
        <w:rPr>
          <w:b/>
          <w:bCs/>
        </w:rPr>
        <w:t>et</w:t>
      </w:r>
      <w:r w:rsidR="00B166AD">
        <w:rPr>
          <w:b/>
          <w:bCs/>
        </w:rPr>
        <w:t>-</w:t>
      </w:r>
      <w:r w:rsidR="001A75E8" w:rsidRPr="002A764E">
        <w:rPr>
          <w:b/>
          <w:bCs/>
        </w:rPr>
        <w:t xml:space="preserve"> </w:t>
      </w:r>
      <w:r w:rsidR="00AB6D67" w:rsidRPr="002A764E">
        <w:rPr>
          <w:b/>
          <w:bCs/>
        </w:rPr>
        <w:t>&amp;</w:t>
      </w:r>
      <w:r w:rsidR="001A75E8" w:rsidRPr="002A764E">
        <w:rPr>
          <w:b/>
          <w:bCs/>
        </w:rPr>
        <w:t xml:space="preserve"> R</w:t>
      </w:r>
      <w:r w:rsidR="00AB6D67" w:rsidRPr="002A764E">
        <w:rPr>
          <w:b/>
          <w:bCs/>
        </w:rPr>
        <w:t>egelgeving</w:t>
      </w:r>
    </w:p>
    <w:tbl>
      <w:tblPr>
        <w:tblW w:w="14664" w:type="dxa"/>
        <w:tblInd w:w="70" w:type="dxa"/>
        <w:tblLayout w:type="fixed"/>
        <w:tblCellMar>
          <w:left w:w="70" w:type="dxa"/>
          <w:right w:w="70" w:type="dxa"/>
        </w:tblCellMar>
        <w:tblLook w:val="0000" w:firstRow="0" w:lastRow="0" w:firstColumn="0" w:lastColumn="0" w:noHBand="0" w:noVBand="0"/>
      </w:tblPr>
      <w:tblGrid>
        <w:gridCol w:w="709"/>
        <w:gridCol w:w="8569"/>
        <w:gridCol w:w="1559"/>
        <w:gridCol w:w="2268"/>
        <w:gridCol w:w="1559"/>
      </w:tblGrid>
      <w:tr w:rsidR="00D621FC" w:rsidRPr="006252C3" w14:paraId="61BFA1D9" w14:textId="77777777" w:rsidTr="00624D1B">
        <w:trPr>
          <w:trHeight w:val="363"/>
        </w:trPr>
        <w:tc>
          <w:tcPr>
            <w:tcW w:w="709" w:type="dxa"/>
            <w:tcBorders>
              <w:top w:val="single" w:sz="6" w:space="0" w:color="auto"/>
              <w:left w:val="single" w:sz="6" w:space="0" w:color="auto"/>
              <w:bottom w:val="single" w:sz="6" w:space="0" w:color="auto"/>
              <w:right w:val="single" w:sz="6" w:space="0" w:color="auto"/>
            </w:tcBorders>
            <w:shd w:val="clear" w:color="auto" w:fill="365F91" w:themeFill="accent1" w:themeFillShade="BF"/>
          </w:tcPr>
          <w:p w14:paraId="25D76FB4" w14:textId="77777777" w:rsidR="00D621FC" w:rsidRPr="00D621FC" w:rsidRDefault="00D621FC" w:rsidP="00D621FC">
            <w:pPr>
              <w:widowControl w:val="0"/>
              <w:autoSpaceDE w:val="0"/>
              <w:autoSpaceDN w:val="0"/>
              <w:adjustRightInd w:val="0"/>
              <w:jc w:val="center"/>
              <w:rPr>
                <w:rFonts w:cs="Calibri"/>
                <w:b/>
                <w:bCs/>
                <w:color w:val="FFFFFF" w:themeColor="background1"/>
                <w:sz w:val="24"/>
                <w:szCs w:val="24"/>
              </w:rPr>
            </w:pPr>
          </w:p>
        </w:tc>
        <w:tc>
          <w:tcPr>
            <w:tcW w:w="8569" w:type="dxa"/>
            <w:tcBorders>
              <w:top w:val="single" w:sz="6" w:space="0" w:color="auto"/>
              <w:left w:val="single" w:sz="6" w:space="0" w:color="auto"/>
              <w:bottom w:val="single" w:sz="6" w:space="0" w:color="auto"/>
              <w:right w:val="single" w:sz="6" w:space="0" w:color="auto"/>
            </w:tcBorders>
            <w:shd w:val="clear" w:color="auto" w:fill="365F91" w:themeFill="accent1" w:themeFillShade="BF"/>
          </w:tcPr>
          <w:p w14:paraId="54E508C8" w14:textId="77777777" w:rsidR="00D621FC" w:rsidRPr="00D621FC" w:rsidRDefault="00D621FC" w:rsidP="00D621FC">
            <w:pPr>
              <w:widowControl w:val="0"/>
              <w:autoSpaceDE w:val="0"/>
              <w:autoSpaceDN w:val="0"/>
              <w:adjustRightInd w:val="0"/>
              <w:jc w:val="center"/>
              <w:rPr>
                <w:rFonts w:cs="Calibri"/>
                <w:b/>
                <w:bCs/>
                <w:color w:val="FFFFFF" w:themeColor="background1"/>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365F91" w:themeFill="accent1" w:themeFillShade="BF"/>
          </w:tcPr>
          <w:p w14:paraId="718EC9EE" w14:textId="130FB74F" w:rsidR="00D621FC" w:rsidRPr="00D621FC" w:rsidRDefault="00D621FC" w:rsidP="00D621FC">
            <w:pPr>
              <w:widowControl w:val="0"/>
              <w:autoSpaceDE w:val="0"/>
              <w:autoSpaceDN w:val="0"/>
              <w:adjustRightInd w:val="0"/>
              <w:jc w:val="center"/>
              <w:rPr>
                <w:rFonts w:cs="Calibri"/>
                <w:b/>
                <w:bCs/>
                <w:iCs/>
                <w:color w:val="FFFFFF" w:themeColor="background1"/>
                <w:sz w:val="24"/>
                <w:szCs w:val="24"/>
              </w:rPr>
            </w:pPr>
            <w:r w:rsidRPr="00D621FC">
              <w:rPr>
                <w:rFonts w:cs="Calibri"/>
                <w:b/>
                <w:bCs/>
                <w:iCs/>
                <w:color w:val="FFFFFF" w:themeColor="background1"/>
                <w:sz w:val="24"/>
                <w:szCs w:val="24"/>
              </w:rPr>
              <w:t>A.</w:t>
            </w:r>
          </w:p>
        </w:tc>
        <w:tc>
          <w:tcPr>
            <w:tcW w:w="2268" w:type="dxa"/>
            <w:tcBorders>
              <w:top w:val="single" w:sz="6" w:space="0" w:color="auto"/>
              <w:left w:val="single" w:sz="6" w:space="0" w:color="auto"/>
              <w:bottom w:val="single" w:sz="6" w:space="0" w:color="auto"/>
              <w:right w:val="single" w:sz="6" w:space="0" w:color="auto"/>
            </w:tcBorders>
            <w:shd w:val="clear" w:color="auto" w:fill="365F91" w:themeFill="accent1" w:themeFillShade="BF"/>
          </w:tcPr>
          <w:p w14:paraId="0DE5912C" w14:textId="334FD0FC" w:rsidR="00D621FC" w:rsidRPr="00D621FC" w:rsidRDefault="00D621FC" w:rsidP="00D621FC">
            <w:pPr>
              <w:widowControl w:val="0"/>
              <w:autoSpaceDE w:val="0"/>
              <w:autoSpaceDN w:val="0"/>
              <w:adjustRightInd w:val="0"/>
              <w:jc w:val="center"/>
              <w:rPr>
                <w:rFonts w:cs="Calibri"/>
                <w:b/>
                <w:bCs/>
                <w:color w:val="FFFFFF" w:themeColor="background1"/>
                <w:sz w:val="24"/>
                <w:szCs w:val="24"/>
              </w:rPr>
            </w:pPr>
            <w:r w:rsidRPr="00D621FC">
              <w:rPr>
                <w:rFonts w:cs="Calibri"/>
                <w:b/>
                <w:bCs/>
                <w:color w:val="FFFFFF" w:themeColor="background1"/>
                <w:sz w:val="24"/>
                <w:szCs w:val="24"/>
              </w:rPr>
              <w:t>B.</w:t>
            </w:r>
          </w:p>
        </w:tc>
        <w:tc>
          <w:tcPr>
            <w:tcW w:w="1559" w:type="dxa"/>
            <w:tcBorders>
              <w:top w:val="single" w:sz="6" w:space="0" w:color="auto"/>
              <w:left w:val="single" w:sz="6" w:space="0" w:color="auto"/>
              <w:bottom w:val="single" w:sz="6" w:space="0" w:color="auto"/>
              <w:right w:val="single" w:sz="6" w:space="0" w:color="auto"/>
            </w:tcBorders>
            <w:shd w:val="clear" w:color="auto" w:fill="365F91" w:themeFill="accent1" w:themeFillShade="BF"/>
          </w:tcPr>
          <w:p w14:paraId="3AFEF311" w14:textId="15E43411" w:rsidR="00D621FC" w:rsidRPr="00D621FC" w:rsidRDefault="00D621FC" w:rsidP="00D621FC">
            <w:pPr>
              <w:widowControl w:val="0"/>
              <w:autoSpaceDE w:val="0"/>
              <w:autoSpaceDN w:val="0"/>
              <w:adjustRightInd w:val="0"/>
              <w:jc w:val="center"/>
              <w:rPr>
                <w:rFonts w:cs="Calibri"/>
                <w:b/>
                <w:bCs/>
                <w:color w:val="FFFFFF" w:themeColor="background1"/>
                <w:sz w:val="24"/>
                <w:szCs w:val="24"/>
              </w:rPr>
            </w:pPr>
            <w:r w:rsidRPr="00D621FC">
              <w:rPr>
                <w:rFonts w:cs="Calibri"/>
                <w:b/>
                <w:bCs/>
                <w:color w:val="FFFFFF" w:themeColor="background1"/>
                <w:sz w:val="24"/>
                <w:szCs w:val="24"/>
              </w:rPr>
              <w:t>C.</w:t>
            </w:r>
          </w:p>
        </w:tc>
      </w:tr>
      <w:tr w:rsidR="00FD552F" w:rsidRPr="006252C3" w14:paraId="5F19A346" w14:textId="77777777" w:rsidTr="00624D1B">
        <w:tc>
          <w:tcPr>
            <w:tcW w:w="709" w:type="dxa"/>
            <w:tcBorders>
              <w:top w:val="single" w:sz="6" w:space="0" w:color="auto"/>
              <w:left w:val="single" w:sz="6" w:space="0" w:color="auto"/>
              <w:bottom w:val="single" w:sz="6" w:space="0" w:color="auto"/>
              <w:right w:val="single" w:sz="6" w:space="0" w:color="auto"/>
            </w:tcBorders>
          </w:tcPr>
          <w:p w14:paraId="340A525C" w14:textId="77777777" w:rsidR="00FD552F" w:rsidRPr="006252C3" w:rsidRDefault="00FD552F" w:rsidP="00A17213">
            <w:pPr>
              <w:widowControl w:val="0"/>
              <w:autoSpaceDE w:val="0"/>
              <w:autoSpaceDN w:val="0"/>
              <w:adjustRightInd w:val="0"/>
              <w:rPr>
                <w:rFonts w:cs="Calibri"/>
                <w:b/>
                <w:bCs/>
                <w:sz w:val="20"/>
                <w:szCs w:val="20"/>
              </w:rPr>
            </w:pPr>
          </w:p>
        </w:tc>
        <w:tc>
          <w:tcPr>
            <w:tcW w:w="8569" w:type="dxa"/>
            <w:tcBorders>
              <w:top w:val="single" w:sz="6" w:space="0" w:color="auto"/>
              <w:left w:val="single" w:sz="6" w:space="0" w:color="auto"/>
              <w:bottom w:val="single" w:sz="6" w:space="0" w:color="auto"/>
              <w:right w:val="single" w:sz="6" w:space="0" w:color="auto"/>
            </w:tcBorders>
          </w:tcPr>
          <w:p w14:paraId="0B065D9B" w14:textId="7139F8FA" w:rsidR="00FD552F" w:rsidRPr="006252C3" w:rsidRDefault="00124773" w:rsidP="00FD552F">
            <w:pPr>
              <w:widowControl w:val="0"/>
              <w:autoSpaceDE w:val="0"/>
              <w:autoSpaceDN w:val="0"/>
              <w:adjustRightInd w:val="0"/>
              <w:rPr>
                <w:rFonts w:cs="Calibri"/>
                <w:b/>
                <w:bCs/>
                <w:sz w:val="20"/>
                <w:szCs w:val="20"/>
              </w:rPr>
            </w:pPr>
            <w:r>
              <w:rPr>
                <w:rFonts w:cs="Calibri"/>
                <w:b/>
                <w:bCs/>
                <w:sz w:val="20"/>
                <w:szCs w:val="20"/>
              </w:rPr>
              <w:t>W</w:t>
            </w:r>
            <w:r w:rsidR="00FD552F" w:rsidRPr="006252C3">
              <w:rPr>
                <w:rFonts w:cs="Calibri"/>
                <w:b/>
                <w:bCs/>
                <w:sz w:val="20"/>
                <w:szCs w:val="20"/>
              </w:rPr>
              <w:t>et- en regelgeving</w:t>
            </w:r>
          </w:p>
        </w:tc>
        <w:tc>
          <w:tcPr>
            <w:tcW w:w="1559" w:type="dxa"/>
            <w:tcBorders>
              <w:top w:val="single" w:sz="6" w:space="0" w:color="auto"/>
              <w:left w:val="single" w:sz="6" w:space="0" w:color="auto"/>
              <w:bottom w:val="single" w:sz="6" w:space="0" w:color="auto"/>
              <w:right w:val="single" w:sz="6" w:space="0" w:color="auto"/>
            </w:tcBorders>
          </w:tcPr>
          <w:p w14:paraId="0E41B00B" w14:textId="024E0D46" w:rsidR="00FD552F" w:rsidRPr="006252C3" w:rsidRDefault="00FD552F" w:rsidP="00A17213">
            <w:pPr>
              <w:widowControl w:val="0"/>
              <w:autoSpaceDE w:val="0"/>
              <w:autoSpaceDN w:val="0"/>
              <w:adjustRightInd w:val="0"/>
              <w:rPr>
                <w:rFonts w:cs="Calibri"/>
                <w:b/>
                <w:bCs/>
                <w:iCs/>
                <w:sz w:val="20"/>
                <w:szCs w:val="20"/>
              </w:rPr>
            </w:pPr>
            <w:r w:rsidRPr="006252C3">
              <w:rPr>
                <w:rFonts w:cs="Calibri"/>
                <w:b/>
                <w:bCs/>
                <w:iCs/>
                <w:sz w:val="20"/>
                <w:szCs w:val="20"/>
              </w:rPr>
              <w:t>Van toepassing?</w:t>
            </w:r>
            <w:r w:rsidR="00D621FC">
              <w:rPr>
                <w:rFonts w:cs="Calibri"/>
                <w:b/>
                <w:bCs/>
                <w:iCs/>
                <w:sz w:val="20"/>
                <w:szCs w:val="20"/>
              </w:rPr>
              <w:t xml:space="preserve"> </w:t>
            </w:r>
            <w:r w:rsidR="00D621FC" w:rsidRPr="00624D1B">
              <w:rPr>
                <w:rFonts w:cs="Calibri"/>
                <w:iCs/>
                <w:sz w:val="20"/>
                <w:szCs w:val="20"/>
              </w:rPr>
              <w:t>(Ja/Nee</w:t>
            </w:r>
            <w:r w:rsidR="0035022B" w:rsidRPr="00624D1B">
              <w:rPr>
                <w:rFonts w:cs="Calibri"/>
                <w:iCs/>
                <w:sz w:val="20"/>
                <w:szCs w:val="20"/>
              </w:rPr>
              <w:t>/N.V.T)</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90B5A56" w14:textId="08095A40" w:rsidR="00FD552F" w:rsidRPr="006252C3" w:rsidRDefault="00D621FC" w:rsidP="00A17213">
            <w:pPr>
              <w:widowControl w:val="0"/>
              <w:autoSpaceDE w:val="0"/>
              <w:autoSpaceDN w:val="0"/>
              <w:adjustRightInd w:val="0"/>
              <w:rPr>
                <w:rFonts w:cs="Calibri"/>
                <w:b/>
                <w:bCs/>
                <w:sz w:val="20"/>
                <w:szCs w:val="20"/>
              </w:rPr>
            </w:pPr>
            <w:r>
              <w:rPr>
                <w:rFonts w:cs="Calibri"/>
                <w:b/>
                <w:bCs/>
                <w:sz w:val="20"/>
                <w:szCs w:val="20"/>
              </w:rPr>
              <w:t>Organisatie</w:t>
            </w:r>
            <w:r w:rsidR="00FD552F" w:rsidRPr="006252C3">
              <w:rPr>
                <w:rFonts w:cs="Calibri"/>
                <w:b/>
                <w:bCs/>
                <w:sz w:val="20"/>
                <w:szCs w:val="20"/>
              </w:rPr>
              <w:t xml:space="preserve"> voldoet hieraan?</w:t>
            </w:r>
            <w:r>
              <w:rPr>
                <w:rFonts w:cs="Calibri"/>
                <w:b/>
                <w:bCs/>
                <w:sz w:val="20"/>
                <w:szCs w:val="20"/>
              </w:rPr>
              <w:t xml:space="preserve"> </w:t>
            </w:r>
            <w:r w:rsidR="0035022B">
              <w:rPr>
                <w:rFonts w:cs="Calibri"/>
                <w:b/>
                <w:bCs/>
                <w:sz w:val="20"/>
                <w:szCs w:val="20"/>
              </w:rPr>
              <w:t xml:space="preserve"> </w:t>
            </w:r>
            <w:r w:rsidR="0035022B" w:rsidRPr="00624D1B">
              <w:rPr>
                <w:rFonts w:cs="Calibri"/>
                <w:sz w:val="20"/>
                <w:szCs w:val="20"/>
              </w:rPr>
              <w:t>(</w:t>
            </w:r>
            <w:r w:rsidR="0035022B" w:rsidRPr="00624D1B">
              <w:rPr>
                <w:rFonts w:cs="Calibri"/>
                <w:iCs/>
                <w:sz w:val="20"/>
                <w:szCs w:val="20"/>
              </w:rPr>
              <w:t>Ja/Nee/N.V.T)</w:t>
            </w:r>
          </w:p>
        </w:tc>
        <w:tc>
          <w:tcPr>
            <w:tcW w:w="1559" w:type="dxa"/>
            <w:tcBorders>
              <w:top w:val="single" w:sz="6" w:space="0" w:color="auto"/>
              <w:left w:val="single" w:sz="6" w:space="0" w:color="auto"/>
              <w:bottom w:val="single" w:sz="6" w:space="0" w:color="auto"/>
              <w:right w:val="single" w:sz="6" w:space="0" w:color="auto"/>
            </w:tcBorders>
          </w:tcPr>
          <w:p w14:paraId="13953B89" w14:textId="675394E9" w:rsidR="00FD552F" w:rsidRPr="006252C3" w:rsidRDefault="00FD552F" w:rsidP="00A17213">
            <w:pPr>
              <w:widowControl w:val="0"/>
              <w:autoSpaceDE w:val="0"/>
              <w:autoSpaceDN w:val="0"/>
              <w:adjustRightInd w:val="0"/>
              <w:rPr>
                <w:rFonts w:cs="Calibri"/>
                <w:b/>
                <w:bCs/>
                <w:sz w:val="20"/>
                <w:szCs w:val="20"/>
              </w:rPr>
            </w:pPr>
            <w:r w:rsidRPr="006252C3">
              <w:rPr>
                <w:rFonts w:cs="Calibri"/>
                <w:b/>
                <w:bCs/>
                <w:sz w:val="20"/>
                <w:szCs w:val="20"/>
              </w:rPr>
              <w:t>Te ondernemen acties?</w:t>
            </w:r>
            <w:r w:rsidR="002C063B">
              <w:rPr>
                <w:rFonts w:cs="Calibri"/>
                <w:b/>
                <w:bCs/>
                <w:sz w:val="20"/>
                <w:szCs w:val="20"/>
              </w:rPr>
              <w:t xml:space="preserve"> (Indien van toepassing)</w:t>
            </w:r>
          </w:p>
        </w:tc>
      </w:tr>
      <w:tr w:rsidR="00FD552F" w:rsidRPr="006252C3" w14:paraId="4A41ECBD" w14:textId="77777777" w:rsidTr="00624D1B">
        <w:tc>
          <w:tcPr>
            <w:tcW w:w="709" w:type="dxa"/>
            <w:tcBorders>
              <w:top w:val="single" w:sz="6" w:space="0" w:color="auto"/>
              <w:left w:val="single" w:sz="6" w:space="0" w:color="auto"/>
              <w:bottom w:val="single" w:sz="6" w:space="0" w:color="auto"/>
              <w:right w:val="single" w:sz="6" w:space="0" w:color="auto"/>
            </w:tcBorders>
          </w:tcPr>
          <w:p w14:paraId="7599B095" w14:textId="77777777" w:rsidR="00FD552F" w:rsidRPr="006252C3" w:rsidRDefault="00FD552F" w:rsidP="004E1223">
            <w:pPr>
              <w:widowControl w:val="0"/>
              <w:autoSpaceDE w:val="0"/>
              <w:autoSpaceDN w:val="0"/>
              <w:adjustRightInd w:val="0"/>
              <w:rPr>
                <w:rFonts w:cs="Calibri"/>
                <w:sz w:val="20"/>
                <w:szCs w:val="20"/>
              </w:rPr>
            </w:pPr>
            <w:r w:rsidRPr="006252C3">
              <w:rPr>
                <w:rFonts w:cs="Calibri"/>
                <w:sz w:val="20"/>
                <w:szCs w:val="20"/>
              </w:rPr>
              <w:t>1.</w:t>
            </w:r>
          </w:p>
        </w:tc>
        <w:tc>
          <w:tcPr>
            <w:tcW w:w="8569" w:type="dxa"/>
            <w:tcBorders>
              <w:top w:val="single" w:sz="6" w:space="0" w:color="auto"/>
              <w:left w:val="single" w:sz="6" w:space="0" w:color="auto"/>
              <w:bottom w:val="single" w:sz="6" w:space="0" w:color="auto"/>
              <w:right w:val="single" w:sz="6" w:space="0" w:color="auto"/>
            </w:tcBorders>
          </w:tcPr>
          <w:p w14:paraId="415EA469" w14:textId="2E50DFCB" w:rsidR="00143C60" w:rsidRPr="00D8265F" w:rsidRDefault="006242B0" w:rsidP="00143C60">
            <w:pPr>
              <w:spacing w:after="100" w:afterAutospacing="1"/>
              <w:rPr>
                <w:rFonts w:cstheme="minorHAnsi"/>
                <w:sz w:val="20"/>
                <w:szCs w:val="20"/>
              </w:rPr>
            </w:pPr>
            <w:r w:rsidRPr="00BB1FA7">
              <w:rPr>
                <w:rFonts w:cstheme="minorHAnsi"/>
                <w:b/>
                <w:bCs/>
              </w:rPr>
              <w:t>Omgevingswet</w:t>
            </w:r>
            <w:r w:rsidR="00143C60" w:rsidRPr="00BB1FA7">
              <w:rPr>
                <w:rFonts w:cstheme="minorHAnsi"/>
                <w:sz w:val="20"/>
                <w:szCs w:val="20"/>
              </w:rPr>
              <w:t xml:space="preserve"> </w:t>
            </w:r>
            <w:r w:rsidR="00BB1FA7">
              <w:rPr>
                <w:rFonts w:cstheme="minorHAnsi"/>
                <w:sz w:val="20"/>
                <w:szCs w:val="20"/>
              </w:rPr>
              <w:br/>
            </w:r>
            <w:r w:rsidR="00D8265F">
              <w:rPr>
                <w:rFonts w:eastAsia="Times New Roman"/>
                <w:color w:val="333333"/>
              </w:rPr>
              <w:t xml:space="preserve">Voor 2024 was er de </w:t>
            </w:r>
            <w:r w:rsidR="00143C60">
              <w:rPr>
                <w:rFonts w:eastAsia="Times New Roman"/>
                <w:color w:val="333333"/>
              </w:rPr>
              <w:t>Wet milieubeheer</w:t>
            </w:r>
            <w:r w:rsidR="00D8265F">
              <w:rPr>
                <w:rFonts w:eastAsia="Times New Roman"/>
                <w:color w:val="333333"/>
              </w:rPr>
              <w:t xml:space="preserve">. Deze </w:t>
            </w:r>
            <w:r w:rsidR="00143C60">
              <w:rPr>
                <w:rFonts w:eastAsia="Times New Roman"/>
                <w:color w:val="333333"/>
              </w:rPr>
              <w:t>blijft bestaan voor de onderwerpen: stoffen, afvalstoffen, broeikasgasemissies, openbaarheid milieu-informatie en milieuaansprakelijkheid.</w:t>
            </w:r>
            <w:r w:rsidR="00D8265F">
              <w:rPr>
                <w:rFonts w:cstheme="minorHAnsi"/>
                <w:sz w:val="20"/>
                <w:szCs w:val="20"/>
              </w:rPr>
              <w:br/>
            </w:r>
            <w:r w:rsidR="00143C60">
              <w:rPr>
                <w:rFonts w:eastAsia="Times New Roman"/>
                <w:color w:val="333333"/>
              </w:rPr>
              <w:t xml:space="preserve">De belangrijkste inhoudelijke veranderingen bij de inwerkingtreding van de Omgevingswet staan in 'was-wordt-tabellen'. Het gaat om verschillen voor de milieubelastende activiteiten tussen het Besluit activiteiten leefomgeving (Bal) en het oude Activiteitenbesluit, de </w:t>
            </w:r>
            <w:r w:rsidR="00143C60">
              <w:rPr>
                <w:rFonts w:eastAsia="Times New Roman"/>
                <w:color w:val="333333"/>
              </w:rPr>
              <w:lastRenderedPageBreak/>
              <w:t>Activiteitenregeling en het Besluit omgevingsrecht (Bor). In deze tabellen staat dit uitgewerkt op voorschriftniveau, met verwijzingen naar de wettekst</w:t>
            </w:r>
          </w:p>
          <w:p w14:paraId="7EB967D0" w14:textId="2CBED001" w:rsidR="00066ADE" w:rsidRPr="00124773" w:rsidRDefault="00124773" w:rsidP="00A67E00">
            <w:pPr>
              <w:rPr>
                <w:rFonts w:cstheme="minorHAnsi"/>
              </w:rPr>
            </w:pPr>
            <w:r>
              <w:rPr>
                <w:rFonts w:cstheme="minorHAnsi"/>
              </w:rPr>
              <w:t>Meer informatie</w:t>
            </w:r>
            <w:r w:rsidR="00603C97">
              <w:rPr>
                <w:rFonts w:cstheme="minorHAnsi"/>
              </w:rPr>
              <w:t xml:space="preserve">: </w:t>
            </w:r>
            <w:r w:rsidR="00A67E00">
              <w:rPr>
                <w:rFonts w:cstheme="minorHAnsi"/>
              </w:rPr>
              <w:br/>
            </w:r>
            <w:r w:rsidR="00A67E00">
              <w:rPr>
                <w:rFonts w:eastAsia="Times New Roman"/>
              </w:rPr>
              <w:t>Informatiepunt Leefomgeving / activiteitenregeling</w:t>
            </w:r>
            <w:r w:rsidR="00A8237F">
              <w:rPr>
                <w:rFonts w:cstheme="minorHAnsi"/>
              </w:rPr>
              <w:t xml:space="preserve"> </w:t>
            </w:r>
            <w:hyperlink r:id="rId12" w:history="1">
              <w:r w:rsidR="00A8237F" w:rsidRPr="001D2DE7">
                <w:rPr>
                  <w:rStyle w:val="Hyperlink"/>
                  <w:rFonts w:cstheme="minorHAnsi"/>
                </w:rPr>
                <w:t>https://</w:t>
              </w:r>
              <w:r w:rsidR="00A8237F" w:rsidRPr="001D2DE7">
                <w:rPr>
                  <w:rStyle w:val="Hyperlink"/>
                </w:rPr>
                <w:t>iplo.nl/regelgeving/</w:t>
              </w:r>
            </w:hyperlink>
            <w:r w:rsidR="00A8237F">
              <w:t xml:space="preserve"> </w:t>
            </w:r>
          </w:p>
        </w:tc>
        <w:tc>
          <w:tcPr>
            <w:tcW w:w="1559" w:type="dxa"/>
            <w:tcBorders>
              <w:top w:val="single" w:sz="6" w:space="0" w:color="auto"/>
              <w:left w:val="single" w:sz="6" w:space="0" w:color="auto"/>
              <w:bottom w:val="single" w:sz="6" w:space="0" w:color="auto"/>
              <w:right w:val="single" w:sz="6" w:space="0" w:color="auto"/>
            </w:tcBorders>
          </w:tcPr>
          <w:p w14:paraId="29D08708" w14:textId="42A22BDD" w:rsidR="00FD552F" w:rsidRPr="00611F9F" w:rsidRDefault="00FD552F" w:rsidP="002E6A72">
            <w:pPr>
              <w:widowControl w:val="0"/>
              <w:autoSpaceDE w:val="0"/>
              <w:autoSpaceDN w:val="0"/>
              <w:adjustRightInd w:val="0"/>
              <w:jc w:val="center"/>
              <w:rPr>
                <w:rFonts w:cs="Calibri"/>
                <w:b/>
                <w:sz w:val="36"/>
                <w:szCs w:val="36"/>
              </w:rPr>
            </w:pP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FD90A1C" w14:textId="77777777" w:rsidR="00FD552F" w:rsidRPr="006252C3" w:rsidRDefault="00FD552F" w:rsidP="00A17213">
            <w:pPr>
              <w:widowControl w:val="0"/>
              <w:autoSpaceDE w:val="0"/>
              <w:autoSpaceDN w:val="0"/>
              <w:adjustRightInd w:val="0"/>
              <w:rPr>
                <w:rFonts w:cs="Calibri"/>
                <w:sz w:val="20"/>
                <w:szCs w:val="20"/>
              </w:rPr>
            </w:pPr>
          </w:p>
        </w:tc>
        <w:tc>
          <w:tcPr>
            <w:tcW w:w="1559" w:type="dxa"/>
            <w:tcBorders>
              <w:top w:val="single" w:sz="6" w:space="0" w:color="auto"/>
              <w:left w:val="single" w:sz="6" w:space="0" w:color="auto"/>
              <w:bottom w:val="single" w:sz="6" w:space="0" w:color="auto"/>
              <w:right w:val="single" w:sz="6" w:space="0" w:color="auto"/>
            </w:tcBorders>
          </w:tcPr>
          <w:p w14:paraId="0465A39A" w14:textId="77777777" w:rsidR="00FD552F" w:rsidRPr="006252C3" w:rsidRDefault="00FD552F" w:rsidP="00A17213">
            <w:pPr>
              <w:widowControl w:val="0"/>
              <w:autoSpaceDE w:val="0"/>
              <w:autoSpaceDN w:val="0"/>
              <w:adjustRightInd w:val="0"/>
              <w:rPr>
                <w:rFonts w:cs="Calibri"/>
                <w:b/>
                <w:bCs/>
                <w:sz w:val="20"/>
                <w:szCs w:val="20"/>
              </w:rPr>
            </w:pPr>
          </w:p>
        </w:tc>
      </w:tr>
      <w:tr w:rsidR="00124773" w:rsidRPr="006252C3" w14:paraId="6C89FE69" w14:textId="77777777" w:rsidTr="00624D1B">
        <w:tc>
          <w:tcPr>
            <w:tcW w:w="709" w:type="dxa"/>
            <w:tcBorders>
              <w:top w:val="single" w:sz="6" w:space="0" w:color="auto"/>
              <w:left w:val="single" w:sz="6" w:space="0" w:color="auto"/>
              <w:bottom w:val="single" w:sz="6" w:space="0" w:color="auto"/>
              <w:right w:val="single" w:sz="6" w:space="0" w:color="auto"/>
            </w:tcBorders>
          </w:tcPr>
          <w:p w14:paraId="6F7172F5" w14:textId="69D265AE" w:rsidR="00124773" w:rsidRPr="006252C3" w:rsidRDefault="006E664D" w:rsidP="004E1223">
            <w:pPr>
              <w:widowControl w:val="0"/>
              <w:autoSpaceDE w:val="0"/>
              <w:autoSpaceDN w:val="0"/>
              <w:adjustRightInd w:val="0"/>
              <w:rPr>
                <w:rFonts w:cs="Calibri"/>
                <w:sz w:val="20"/>
                <w:szCs w:val="20"/>
              </w:rPr>
            </w:pPr>
            <w:r>
              <w:rPr>
                <w:rFonts w:cs="Calibri"/>
                <w:sz w:val="20"/>
                <w:szCs w:val="20"/>
              </w:rPr>
              <w:t>2</w:t>
            </w:r>
          </w:p>
        </w:tc>
        <w:tc>
          <w:tcPr>
            <w:tcW w:w="8569" w:type="dxa"/>
            <w:tcBorders>
              <w:top w:val="single" w:sz="6" w:space="0" w:color="auto"/>
              <w:left w:val="single" w:sz="6" w:space="0" w:color="auto"/>
              <w:bottom w:val="single" w:sz="6" w:space="0" w:color="auto"/>
              <w:right w:val="single" w:sz="6" w:space="0" w:color="auto"/>
            </w:tcBorders>
          </w:tcPr>
          <w:p w14:paraId="3B09BBA5" w14:textId="6B8D092F" w:rsidR="00273F84" w:rsidRPr="00D621FC" w:rsidRDefault="00912C8F" w:rsidP="00124773">
            <w:pPr>
              <w:spacing w:after="100" w:afterAutospacing="1"/>
              <w:rPr>
                <w:rFonts w:cstheme="minorHAnsi"/>
                <w:b/>
                <w:bCs/>
                <w:color w:val="000000" w:themeColor="text1"/>
              </w:rPr>
            </w:pPr>
            <w:r w:rsidRPr="00D621FC">
              <w:rPr>
                <w:rFonts w:cstheme="minorHAnsi"/>
                <w:b/>
                <w:bCs/>
                <w:color w:val="000000" w:themeColor="text1"/>
              </w:rPr>
              <w:t>Energiebesparings- en i</w:t>
            </w:r>
            <w:r w:rsidR="00124773" w:rsidRPr="00D621FC">
              <w:rPr>
                <w:rFonts w:cstheme="minorHAnsi"/>
                <w:b/>
                <w:bCs/>
                <w:color w:val="000000" w:themeColor="text1"/>
              </w:rPr>
              <w:t>nformatieplicht</w:t>
            </w:r>
            <w:r w:rsidR="00273F84" w:rsidRPr="00D621FC">
              <w:rPr>
                <w:rFonts w:cstheme="minorHAnsi"/>
                <w:b/>
                <w:bCs/>
                <w:color w:val="000000" w:themeColor="text1"/>
              </w:rPr>
              <w:t xml:space="preserve">: </w:t>
            </w:r>
            <w:r w:rsidR="00273F84" w:rsidRPr="00D621FC">
              <w:rPr>
                <w:rFonts w:cstheme="minorHAnsi"/>
                <w:color w:val="000000" w:themeColor="text1"/>
              </w:rPr>
              <w:t>Inrichtingen die per kalenderjaar een energieverbruik hebben van meer dan 50.000 kWh of van 25.000 m³ aardgas(equivalent) moeten voldoen aan de energiebesparingsplicht. In het algemeen gebruikt de drijver hiervoor de laatst beschikbare eindafrekening van de energieleverancier.</w:t>
            </w:r>
            <w:r w:rsidRPr="00D621FC">
              <w:rPr>
                <w:rFonts w:cstheme="minorHAnsi"/>
                <w:color w:val="000000" w:themeColor="text1"/>
              </w:rPr>
              <w:t xml:space="preserve"> </w:t>
            </w:r>
          </w:p>
          <w:p w14:paraId="6E542626" w14:textId="1C732ABB" w:rsidR="00C02BEC" w:rsidRPr="00124773" w:rsidRDefault="00C02BEC" w:rsidP="00D621FC">
            <w:pPr>
              <w:spacing w:after="100" w:afterAutospacing="1"/>
              <w:rPr>
                <w:rFonts w:cstheme="minorHAnsi"/>
              </w:rPr>
            </w:pPr>
            <w:r>
              <w:rPr>
                <w:rFonts w:cstheme="minorHAnsi"/>
              </w:rPr>
              <w:t>Meer informatie:</w:t>
            </w:r>
            <w:r w:rsidR="00273F84">
              <w:rPr>
                <w:rFonts w:cstheme="minorHAnsi"/>
              </w:rPr>
              <w:t xml:space="preserve"> </w:t>
            </w:r>
            <w:hyperlink r:id="rId13" w:history="1">
              <w:r w:rsidR="00273F84" w:rsidRPr="0022084B">
                <w:rPr>
                  <w:rStyle w:val="Hyperlink"/>
                  <w:rFonts w:cstheme="minorHAnsi"/>
                </w:rPr>
                <w:t>https://www.infomil.nl/onderwerpen/duurzaamheid-energie/energiebesparing/vragen-antwoorden/activiteitenbesluit</w:t>
              </w:r>
            </w:hyperlink>
            <w:r w:rsidR="00273F84">
              <w:rPr>
                <w:rFonts w:cstheme="minorHAnsi"/>
              </w:rPr>
              <w:t xml:space="preserve"> </w:t>
            </w:r>
          </w:p>
        </w:tc>
        <w:tc>
          <w:tcPr>
            <w:tcW w:w="1559" w:type="dxa"/>
            <w:tcBorders>
              <w:top w:val="single" w:sz="6" w:space="0" w:color="auto"/>
              <w:left w:val="single" w:sz="6" w:space="0" w:color="auto"/>
              <w:bottom w:val="single" w:sz="6" w:space="0" w:color="auto"/>
              <w:right w:val="single" w:sz="6" w:space="0" w:color="auto"/>
            </w:tcBorders>
          </w:tcPr>
          <w:p w14:paraId="2D487777" w14:textId="77777777" w:rsidR="00124773" w:rsidRPr="006252C3" w:rsidRDefault="00124773" w:rsidP="002E6A72">
            <w:pPr>
              <w:widowControl w:val="0"/>
              <w:autoSpaceDE w:val="0"/>
              <w:autoSpaceDN w:val="0"/>
              <w:adjustRightInd w:val="0"/>
              <w:jc w:val="center"/>
              <w:rPr>
                <w:rFonts w:cs="Calibri"/>
                <w:b/>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01BED37" w14:textId="77777777" w:rsidR="00124773" w:rsidRPr="006252C3" w:rsidRDefault="00124773" w:rsidP="00A17213">
            <w:pPr>
              <w:widowControl w:val="0"/>
              <w:autoSpaceDE w:val="0"/>
              <w:autoSpaceDN w:val="0"/>
              <w:adjustRightInd w:val="0"/>
              <w:rPr>
                <w:rFonts w:cs="Calibri"/>
                <w:sz w:val="20"/>
                <w:szCs w:val="20"/>
              </w:rPr>
            </w:pPr>
          </w:p>
        </w:tc>
        <w:tc>
          <w:tcPr>
            <w:tcW w:w="1559" w:type="dxa"/>
            <w:tcBorders>
              <w:top w:val="single" w:sz="6" w:space="0" w:color="auto"/>
              <w:left w:val="single" w:sz="6" w:space="0" w:color="auto"/>
              <w:bottom w:val="single" w:sz="6" w:space="0" w:color="auto"/>
              <w:right w:val="single" w:sz="6" w:space="0" w:color="auto"/>
            </w:tcBorders>
          </w:tcPr>
          <w:p w14:paraId="5A6840C7" w14:textId="77777777" w:rsidR="00124773" w:rsidRPr="006252C3" w:rsidRDefault="00124773" w:rsidP="00A17213">
            <w:pPr>
              <w:widowControl w:val="0"/>
              <w:autoSpaceDE w:val="0"/>
              <w:autoSpaceDN w:val="0"/>
              <w:adjustRightInd w:val="0"/>
              <w:rPr>
                <w:rFonts w:cs="Calibri"/>
                <w:b/>
                <w:bCs/>
                <w:sz w:val="20"/>
                <w:szCs w:val="20"/>
              </w:rPr>
            </w:pPr>
          </w:p>
        </w:tc>
      </w:tr>
      <w:tr w:rsidR="00FD552F" w:rsidRPr="006252C3" w14:paraId="1E69F66A" w14:textId="77777777" w:rsidTr="00624D1B">
        <w:tc>
          <w:tcPr>
            <w:tcW w:w="709" w:type="dxa"/>
            <w:tcBorders>
              <w:top w:val="single" w:sz="6" w:space="0" w:color="auto"/>
              <w:left w:val="single" w:sz="6" w:space="0" w:color="auto"/>
              <w:bottom w:val="single" w:sz="6" w:space="0" w:color="auto"/>
              <w:right w:val="single" w:sz="6" w:space="0" w:color="auto"/>
            </w:tcBorders>
          </w:tcPr>
          <w:p w14:paraId="5E23E56D" w14:textId="06F7B551" w:rsidR="00FD552F" w:rsidRPr="006252C3" w:rsidRDefault="006E664D" w:rsidP="00A17213">
            <w:pPr>
              <w:widowControl w:val="0"/>
              <w:autoSpaceDE w:val="0"/>
              <w:autoSpaceDN w:val="0"/>
              <w:adjustRightInd w:val="0"/>
              <w:rPr>
                <w:rFonts w:cs="Calibri"/>
                <w:sz w:val="20"/>
                <w:szCs w:val="20"/>
              </w:rPr>
            </w:pPr>
            <w:r>
              <w:rPr>
                <w:rFonts w:cs="Calibri"/>
                <w:sz w:val="20"/>
                <w:szCs w:val="20"/>
              </w:rPr>
              <w:t>3</w:t>
            </w:r>
            <w:r w:rsidR="00FD552F" w:rsidRPr="006252C3">
              <w:rPr>
                <w:rFonts w:cs="Calibri"/>
                <w:sz w:val="20"/>
                <w:szCs w:val="20"/>
              </w:rPr>
              <w:t>.</w:t>
            </w:r>
          </w:p>
        </w:tc>
        <w:tc>
          <w:tcPr>
            <w:tcW w:w="8569" w:type="dxa"/>
            <w:tcBorders>
              <w:top w:val="single" w:sz="6" w:space="0" w:color="auto"/>
              <w:left w:val="single" w:sz="6" w:space="0" w:color="auto"/>
              <w:bottom w:val="single" w:sz="6" w:space="0" w:color="auto"/>
              <w:right w:val="single" w:sz="6" w:space="0" w:color="auto"/>
            </w:tcBorders>
          </w:tcPr>
          <w:p w14:paraId="3C557E94" w14:textId="77777777" w:rsidR="00912C8F" w:rsidRPr="00912C8F" w:rsidRDefault="00B166AD" w:rsidP="00912C8F">
            <w:pPr>
              <w:widowControl w:val="0"/>
              <w:autoSpaceDE w:val="0"/>
              <w:autoSpaceDN w:val="0"/>
              <w:adjustRightInd w:val="0"/>
              <w:rPr>
                <w:rFonts w:cstheme="minorHAnsi"/>
                <w:b/>
                <w:bCs/>
                <w:color w:val="333333"/>
                <w:shd w:val="clear" w:color="auto" w:fill="FFFFFF"/>
              </w:rPr>
            </w:pPr>
            <w:r w:rsidRPr="00C02BEC">
              <w:rPr>
                <w:rFonts w:cstheme="minorHAnsi"/>
                <w:b/>
                <w:bCs/>
                <w:color w:val="333333"/>
                <w:shd w:val="clear" w:color="auto" w:fill="FFFFFF"/>
              </w:rPr>
              <w:t>Energy Efficiency Directive</w:t>
            </w:r>
            <w:r w:rsidR="00912C8F">
              <w:rPr>
                <w:rFonts w:cstheme="minorHAnsi"/>
                <w:b/>
                <w:bCs/>
                <w:color w:val="333333"/>
                <w:shd w:val="clear" w:color="auto" w:fill="FFFFFF"/>
              </w:rPr>
              <w:t xml:space="preserve"> (EED): </w:t>
            </w:r>
            <w:r w:rsidR="00912C8F" w:rsidRPr="00D621FC">
              <w:rPr>
                <w:rFonts w:cstheme="minorHAnsi"/>
                <w:shd w:val="clear" w:color="auto" w:fill="FFFFFF"/>
              </w:rPr>
              <w:t>Een onderneming met meer dan 250 FTE of een jaaromzet van € 50 miljoen of meer en een jaarlijkse balanstotaal van meer dan € 43 miljoen heeft te maken met de Europese Energie-Efficiency Richtlijn (EED). Er moet dan door de onderneming een energie-audit uitgevoerd worden.</w:t>
            </w:r>
          </w:p>
          <w:p w14:paraId="10E5A3DC" w14:textId="01B028F2" w:rsidR="00124773" w:rsidRPr="00C02BEC" w:rsidRDefault="00124773" w:rsidP="00FD552F">
            <w:pPr>
              <w:widowControl w:val="0"/>
              <w:autoSpaceDE w:val="0"/>
              <w:autoSpaceDN w:val="0"/>
              <w:adjustRightInd w:val="0"/>
              <w:rPr>
                <w:rFonts w:cstheme="minorHAnsi"/>
                <w:iCs/>
              </w:rPr>
            </w:pPr>
            <w:r w:rsidRPr="00C02BEC">
              <w:rPr>
                <w:rStyle w:val="Hyperlink"/>
                <w:color w:val="000000" w:themeColor="text1"/>
                <w:u w:val="none"/>
              </w:rPr>
              <w:t>Meer informatie:</w:t>
            </w:r>
            <w:r w:rsidR="00912C8F">
              <w:rPr>
                <w:rStyle w:val="Hyperlink"/>
                <w:color w:val="000000" w:themeColor="text1"/>
                <w:u w:val="none"/>
              </w:rPr>
              <w:t xml:space="preserve"> </w:t>
            </w:r>
            <w:hyperlink r:id="rId14" w:history="1">
              <w:r w:rsidR="00912C8F" w:rsidRPr="0022084B">
                <w:rPr>
                  <w:rStyle w:val="Hyperlink"/>
                </w:rPr>
                <w:t>https://www.rvo.nl/onderwerpen/duurzaam-ondernemen/energie-besparen/europese-energie-efficiency-richtlijn-eed/energie-audit-eed</w:t>
              </w:r>
            </w:hyperlink>
            <w:r w:rsidR="00912C8F">
              <w:rPr>
                <w:rStyle w:val="Hyperlink"/>
                <w:color w:val="000000" w:themeColor="text1"/>
                <w:u w:val="none"/>
              </w:rPr>
              <w:t xml:space="preserve"> </w:t>
            </w:r>
          </w:p>
        </w:tc>
        <w:tc>
          <w:tcPr>
            <w:tcW w:w="1559" w:type="dxa"/>
            <w:tcBorders>
              <w:top w:val="single" w:sz="6" w:space="0" w:color="auto"/>
              <w:left w:val="single" w:sz="6" w:space="0" w:color="auto"/>
              <w:bottom w:val="single" w:sz="6" w:space="0" w:color="auto"/>
              <w:right w:val="single" w:sz="6" w:space="0" w:color="auto"/>
            </w:tcBorders>
          </w:tcPr>
          <w:p w14:paraId="54CBEDC9" w14:textId="77777777" w:rsidR="00FD552F" w:rsidRPr="006252C3" w:rsidRDefault="00FD552F" w:rsidP="00A17213">
            <w:pPr>
              <w:widowControl w:val="0"/>
              <w:autoSpaceDE w:val="0"/>
              <w:autoSpaceDN w:val="0"/>
              <w:adjustRightInd w:val="0"/>
              <w:rPr>
                <w:rFonts w:cs="Calibri"/>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E6E2112" w14:textId="77777777" w:rsidR="00FD552F" w:rsidRPr="006252C3" w:rsidRDefault="00FD552F" w:rsidP="00A17213">
            <w:pPr>
              <w:widowControl w:val="0"/>
              <w:autoSpaceDE w:val="0"/>
              <w:autoSpaceDN w:val="0"/>
              <w:adjustRightInd w:val="0"/>
              <w:rPr>
                <w:rFonts w:cs="Calibri"/>
                <w:sz w:val="20"/>
                <w:szCs w:val="20"/>
              </w:rPr>
            </w:pPr>
          </w:p>
        </w:tc>
        <w:tc>
          <w:tcPr>
            <w:tcW w:w="1559" w:type="dxa"/>
            <w:tcBorders>
              <w:top w:val="single" w:sz="6" w:space="0" w:color="auto"/>
              <w:left w:val="single" w:sz="6" w:space="0" w:color="auto"/>
              <w:bottom w:val="single" w:sz="6" w:space="0" w:color="auto"/>
              <w:right w:val="single" w:sz="6" w:space="0" w:color="auto"/>
            </w:tcBorders>
          </w:tcPr>
          <w:p w14:paraId="51F77C57" w14:textId="77777777" w:rsidR="00FD552F" w:rsidRPr="006252C3" w:rsidRDefault="00FD552F" w:rsidP="00A17213">
            <w:pPr>
              <w:widowControl w:val="0"/>
              <w:autoSpaceDE w:val="0"/>
              <w:autoSpaceDN w:val="0"/>
              <w:adjustRightInd w:val="0"/>
              <w:rPr>
                <w:rFonts w:cs="Calibri"/>
                <w:b/>
                <w:bCs/>
                <w:sz w:val="20"/>
                <w:szCs w:val="20"/>
              </w:rPr>
            </w:pPr>
          </w:p>
        </w:tc>
      </w:tr>
      <w:tr w:rsidR="002A648E" w:rsidRPr="006252C3" w14:paraId="2B7BD8BF" w14:textId="77777777" w:rsidTr="00624D1B">
        <w:tc>
          <w:tcPr>
            <w:tcW w:w="709" w:type="dxa"/>
            <w:tcBorders>
              <w:top w:val="single" w:sz="6" w:space="0" w:color="auto"/>
              <w:left w:val="single" w:sz="6" w:space="0" w:color="auto"/>
              <w:bottom w:val="single" w:sz="6" w:space="0" w:color="auto"/>
              <w:right w:val="single" w:sz="6" w:space="0" w:color="auto"/>
            </w:tcBorders>
          </w:tcPr>
          <w:p w14:paraId="621F0E0F" w14:textId="09D78AE9" w:rsidR="002A648E" w:rsidRPr="006252C3" w:rsidRDefault="006E664D" w:rsidP="004E1223">
            <w:pPr>
              <w:widowControl w:val="0"/>
              <w:autoSpaceDE w:val="0"/>
              <w:autoSpaceDN w:val="0"/>
              <w:adjustRightInd w:val="0"/>
              <w:rPr>
                <w:rFonts w:cs="Calibri"/>
                <w:color w:val="FF0000"/>
                <w:sz w:val="20"/>
                <w:szCs w:val="20"/>
              </w:rPr>
            </w:pPr>
            <w:r>
              <w:rPr>
                <w:rFonts w:cs="Calibri"/>
                <w:sz w:val="20"/>
                <w:szCs w:val="20"/>
              </w:rPr>
              <w:t>4</w:t>
            </w:r>
          </w:p>
        </w:tc>
        <w:tc>
          <w:tcPr>
            <w:tcW w:w="8569" w:type="dxa"/>
            <w:tcBorders>
              <w:top w:val="single" w:sz="6" w:space="0" w:color="auto"/>
              <w:left w:val="single" w:sz="6" w:space="0" w:color="auto"/>
              <w:bottom w:val="single" w:sz="6" w:space="0" w:color="auto"/>
              <w:right w:val="single" w:sz="6" w:space="0" w:color="auto"/>
            </w:tcBorders>
          </w:tcPr>
          <w:p w14:paraId="193B72D0" w14:textId="77B54587" w:rsidR="00611F9F" w:rsidRDefault="00862AD0" w:rsidP="00611F9F">
            <w:pPr>
              <w:widowControl w:val="0"/>
              <w:autoSpaceDE w:val="0"/>
              <w:autoSpaceDN w:val="0"/>
              <w:adjustRightInd w:val="0"/>
            </w:pPr>
            <w:r w:rsidRPr="00C02BEC">
              <w:rPr>
                <w:rFonts w:cstheme="minorHAnsi"/>
                <w:b/>
                <w:bCs/>
              </w:rPr>
              <w:t>Drinkwater</w:t>
            </w:r>
            <w:r w:rsidR="002A648E" w:rsidRPr="00C02BEC">
              <w:rPr>
                <w:rFonts w:cstheme="minorHAnsi"/>
                <w:b/>
                <w:bCs/>
              </w:rPr>
              <w:t>wet / Legionellapreventie</w:t>
            </w:r>
            <w:r w:rsidR="00611F9F">
              <w:rPr>
                <w:rFonts w:cstheme="minorHAnsi"/>
                <w:b/>
                <w:bCs/>
              </w:rPr>
              <w:t>: A</w:t>
            </w:r>
            <w:r w:rsidR="00611F9F">
              <w:t>lle gebouweigenaren er verantwoordelijk voor zijn dat er goed water uit de kraan komt en dat het openbare leidingnet niet wordt verontreinigd.</w:t>
            </w:r>
            <w:r w:rsidR="00611F9F" w:rsidRPr="00124773">
              <w:t xml:space="preserve"> </w:t>
            </w:r>
            <w:r w:rsidR="00611F9F">
              <w:t>Behalve de zorgplichtbepalingen waaraan alle gebouweigenaren dienen te voldoen, moet voor een aantal gebouwen en gebouwfuncties een legionella-risicoanalyse en legionella-beheersplan worden opgesteld. Het gaat om de in artikel 35 van het Drinkwaterbesluit aangewezen, zogenoemde prioritaire, installaties bij:</w:t>
            </w:r>
          </w:p>
          <w:p w14:paraId="03A9330A" w14:textId="2CFEE623" w:rsidR="00611F9F" w:rsidRDefault="00611F9F" w:rsidP="00611F9F">
            <w:pPr>
              <w:widowControl w:val="0"/>
              <w:autoSpaceDE w:val="0"/>
              <w:autoSpaceDN w:val="0"/>
              <w:adjustRightInd w:val="0"/>
            </w:pPr>
            <w:r>
              <w:t>• ziekenhuizen, zorginstellingen of vergelijkbaar;</w:t>
            </w:r>
            <w:r>
              <w:br/>
              <w:t>• gebouwen met een logiesfunctie (hotels, pensions, groepsaccommodaties e.d.);</w:t>
            </w:r>
            <w:r>
              <w:br/>
            </w:r>
            <w:r>
              <w:lastRenderedPageBreak/>
              <w:t>• badinrichtingen (zwembaden);</w:t>
            </w:r>
            <w:r>
              <w:br/>
              <w:t>• kampeerterreinen;</w:t>
            </w:r>
            <w:r>
              <w:br/>
              <w:t>• jachthavens.</w:t>
            </w:r>
          </w:p>
          <w:p w14:paraId="5C6B2F36" w14:textId="5FACCFB5" w:rsidR="00124773" w:rsidRPr="00124773" w:rsidRDefault="00124773" w:rsidP="00611F9F">
            <w:pPr>
              <w:rPr>
                <w:rFonts w:cstheme="minorHAnsi"/>
                <w:strike/>
                <w:color w:val="FF0000"/>
              </w:rPr>
            </w:pPr>
            <w:r w:rsidRPr="00124773">
              <w:t>Meer informatie:</w:t>
            </w:r>
            <w:r w:rsidR="00912C8F">
              <w:t xml:space="preserve"> </w:t>
            </w:r>
            <w:hyperlink r:id="rId15" w:history="1">
              <w:r w:rsidR="00912C8F" w:rsidRPr="0022084B">
                <w:rPr>
                  <w:rStyle w:val="Hyperlink"/>
                </w:rPr>
                <w:t>https://www.infomil.nl/onderwerpen/lucht-water/legionella/drinkwater</w:t>
              </w:r>
            </w:hyperlink>
            <w:r w:rsidR="00912C8F">
              <w:t xml:space="preserve"> </w:t>
            </w:r>
          </w:p>
        </w:tc>
        <w:tc>
          <w:tcPr>
            <w:tcW w:w="1559" w:type="dxa"/>
            <w:tcBorders>
              <w:top w:val="single" w:sz="6" w:space="0" w:color="auto"/>
              <w:left w:val="single" w:sz="6" w:space="0" w:color="auto"/>
              <w:bottom w:val="single" w:sz="6" w:space="0" w:color="auto"/>
              <w:right w:val="single" w:sz="6" w:space="0" w:color="auto"/>
            </w:tcBorders>
          </w:tcPr>
          <w:p w14:paraId="16FF1BB0" w14:textId="62799EC4" w:rsidR="002A648E" w:rsidRPr="00611F9F" w:rsidRDefault="002A648E" w:rsidP="002A648E">
            <w:pPr>
              <w:widowControl w:val="0"/>
              <w:autoSpaceDE w:val="0"/>
              <w:autoSpaceDN w:val="0"/>
              <w:adjustRightInd w:val="0"/>
              <w:jc w:val="center"/>
              <w:rPr>
                <w:rFonts w:cs="Calibri"/>
                <w:b/>
                <w:bCs/>
                <w:sz w:val="36"/>
                <w:szCs w:val="36"/>
              </w:rPr>
            </w:pP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3D5E615" w14:textId="77777777" w:rsidR="002A648E" w:rsidRPr="006252C3" w:rsidRDefault="002A648E" w:rsidP="00A17213">
            <w:pPr>
              <w:widowControl w:val="0"/>
              <w:autoSpaceDE w:val="0"/>
              <w:autoSpaceDN w:val="0"/>
              <w:adjustRightInd w:val="0"/>
              <w:rPr>
                <w:rFonts w:cs="Calibri"/>
                <w:b/>
                <w:bCs/>
                <w:sz w:val="20"/>
                <w:szCs w:val="20"/>
              </w:rPr>
            </w:pPr>
          </w:p>
        </w:tc>
        <w:tc>
          <w:tcPr>
            <w:tcW w:w="1559" w:type="dxa"/>
            <w:tcBorders>
              <w:top w:val="single" w:sz="6" w:space="0" w:color="auto"/>
              <w:left w:val="single" w:sz="6" w:space="0" w:color="auto"/>
              <w:bottom w:val="single" w:sz="6" w:space="0" w:color="auto"/>
              <w:right w:val="single" w:sz="6" w:space="0" w:color="auto"/>
            </w:tcBorders>
          </w:tcPr>
          <w:p w14:paraId="4FE8A7D8" w14:textId="77777777" w:rsidR="002A648E" w:rsidRPr="006252C3" w:rsidRDefault="002A648E" w:rsidP="00A17213">
            <w:pPr>
              <w:widowControl w:val="0"/>
              <w:autoSpaceDE w:val="0"/>
              <w:autoSpaceDN w:val="0"/>
              <w:adjustRightInd w:val="0"/>
              <w:rPr>
                <w:rFonts w:cs="Calibri"/>
                <w:b/>
                <w:bCs/>
                <w:sz w:val="20"/>
                <w:szCs w:val="20"/>
              </w:rPr>
            </w:pPr>
          </w:p>
        </w:tc>
      </w:tr>
      <w:tr w:rsidR="002A648E" w:rsidRPr="006252C3" w14:paraId="5539952E" w14:textId="77777777" w:rsidTr="00624D1B">
        <w:tc>
          <w:tcPr>
            <w:tcW w:w="709" w:type="dxa"/>
            <w:tcBorders>
              <w:top w:val="single" w:sz="6" w:space="0" w:color="auto"/>
              <w:left w:val="single" w:sz="6" w:space="0" w:color="auto"/>
              <w:bottom w:val="single" w:sz="6" w:space="0" w:color="auto"/>
              <w:right w:val="single" w:sz="6" w:space="0" w:color="auto"/>
            </w:tcBorders>
          </w:tcPr>
          <w:p w14:paraId="4936D19B" w14:textId="5C096CCA" w:rsidR="002A648E" w:rsidRPr="006252C3" w:rsidRDefault="006E664D" w:rsidP="002A0EAF">
            <w:pPr>
              <w:widowControl w:val="0"/>
              <w:autoSpaceDE w:val="0"/>
              <w:autoSpaceDN w:val="0"/>
              <w:adjustRightInd w:val="0"/>
              <w:rPr>
                <w:rFonts w:cs="Calibri"/>
                <w:sz w:val="20"/>
                <w:szCs w:val="20"/>
              </w:rPr>
            </w:pPr>
            <w:r>
              <w:rPr>
                <w:rFonts w:cs="Calibri"/>
                <w:sz w:val="20"/>
                <w:szCs w:val="20"/>
              </w:rPr>
              <w:t>5</w:t>
            </w:r>
          </w:p>
        </w:tc>
        <w:tc>
          <w:tcPr>
            <w:tcW w:w="8569" w:type="dxa"/>
            <w:tcBorders>
              <w:top w:val="single" w:sz="6" w:space="0" w:color="auto"/>
              <w:left w:val="single" w:sz="6" w:space="0" w:color="auto"/>
              <w:bottom w:val="single" w:sz="6" w:space="0" w:color="auto"/>
              <w:right w:val="single" w:sz="6" w:space="0" w:color="auto"/>
            </w:tcBorders>
          </w:tcPr>
          <w:p w14:paraId="47BC65D1" w14:textId="7E1FE52E" w:rsidR="002A648E" w:rsidRPr="00C02BEC" w:rsidRDefault="00B166AD" w:rsidP="00FD552F">
            <w:pPr>
              <w:widowControl w:val="0"/>
              <w:autoSpaceDE w:val="0"/>
              <w:autoSpaceDN w:val="0"/>
              <w:adjustRightInd w:val="0"/>
              <w:rPr>
                <w:rFonts w:cstheme="minorHAnsi"/>
                <w:b/>
                <w:bCs/>
              </w:rPr>
            </w:pPr>
            <w:r w:rsidRPr="00C02BEC">
              <w:rPr>
                <w:rFonts w:cstheme="minorHAnsi"/>
                <w:b/>
                <w:bCs/>
              </w:rPr>
              <w:t>Wet hygiëne en veiligheid badinrichtingen en zwemgelegenheden (WHVZ)</w:t>
            </w:r>
            <w:r w:rsidR="00474A86">
              <w:rPr>
                <w:rFonts w:cstheme="minorHAnsi"/>
                <w:b/>
                <w:bCs/>
              </w:rPr>
              <w:t xml:space="preserve">: </w:t>
            </w:r>
            <w:r w:rsidR="00474A86" w:rsidRPr="00474A86">
              <w:rPr>
                <w:rFonts w:cstheme="minorHAnsi"/>
              </w:rPr>
              <w:t xml:space="preserve">Zwembaden en door de provincie aangewezen zwemgelegenheden moeten voldoen aan de regels voor hygiëne en veiligheid. Er zijn minimumeisen voor de kwaliteit van het Nederlandse zwemwater. De provincie kan extra eisen stellen. </w:t>
            </w:r>
          </w:p>
          <w:p w14:paraId="57140651" w14:textId="5274E782" w:rsidR="00C02BEC" w:rsidRPr="00C02BEC" w:rsidRDefault="00C02BEC" w:rsidP="00FD552F">
            <w:pPr>
              <w:widowControl w:val="0"/>
              <w:autoSpaceDE w:val="0"/>
              <w:autoSpaceDN w:val="0"/>
              <w:adjustRightInd w:val="0"/>
              <w:rPr>
                <w:rFonts w:cstheme="minorHAnsi"/>
              </w:rPr>
            </w:pPr>
            <w:r>
              <w:rPr>
                <w:rFonts w:cstheme="minorHAnsi"/>
              </w:rPr>
              <w:t>Meer informatie:</w:t>
            </w:r>
            <w:r w:rsidR="00474A86">
              <w:rPr>
                <w:rFonts w:cstheme="minorHAnsi"/>
              </w:rPr>
              <w:t xml:space="preserve"> </w:t>
            </w:r>
            <w:hyperlink r:id="rId16" w:history="1">
              <w:r w:rsidR="00474A86" w:rsidRPr="0022084B">
                <w:rPr>
                  <w:rStyle w:val="Hyperlink"/>
                  <w:rFonts w:cstheme="minorHAnsi"/>
                </w:rPr>
                <w:t>https://www.rijksoverheid.nl/onderwerpen/water/vraag-en-antwoord/hoe-weet-ik-of-de-waterkwaliteit-in-zwembaden-goed-is</w:t>
              </w:r>
            </w:hyperlink>
            <w:r w:rsidR="00474A86">
              <w:rPr>
                <w:rFonts w:cstheme="minorHAnsi"/>
              </w:rPr>
              <w:t xml:space="preserve"> </w:t>
            </w:r>
          </w:p>
        </w:tc>
        <w:tc>
          <w:tcPr>
            <w:tcW w:w="1559" w:type="dxa"/>
            <w:tcBorders>
              <w:top w:val="single" w:sz="6" w:space="0" w:color="auto"/>
              <w:left w:val="single" w:sz="6" w:space="0" w:color="auto"/>
              <w:bottom w:val="single" w:sz="6" w:space="0" w:color="auto"/>
              <w:right w:val="single" w:sz="6" w:space="0" w:color="auto"/>
            </w:tcBorders>
          </w:tcPr>
          <w:p w14:paraId="3643378E" w14:textId="77777777" w:rsidR="002A648E" w:rsidRPr="006252C3" w:rsidRDefault="002A648E" w:rsidP="002E6A72">
            <w:pPr>
              <w:widowControl w:val="0"/>
              <w:autoSpaceDE w:val="0"/>
              <w:autoSpaceDN w:val="0"/>
              <w:adjustRightInd w:val="0"/>
              <w:jc w:val="center"/>
              <w:rPr>
                <w:rFonts w:cs="Calibri"/>
                <w:b/>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BB70C2A" w14:textId="77777777" w:rsidR="002A648E" w:rsidRPr="006252C3" w:rsidRDefault="002A648E" w:rsidP="00A17213">
            <w:pPr>
              <w:widowControl w:val="0"/>
              <w:autoSpaceDE w:val="0"/>
              <w:autoSpaceDN w:val="0"/>
              <w:adjustRightInd w:val="0"/>
              <w:rPr>
                <w:rFonts w:cs="Calibri"/>
                <w:sz w:val="20"/>
                <w:szCs w:val="20"/>
              </w:rPr>
            </w:pPr>
          </w:p>
        </w:tc>
        <w:tc>
          <w:tcPr>
            <w:tcW w:w="1559" w:type="dxa"/>
            <w:tcBorders>
              <w:top w:val="single" w:sz="6" w:space="0" w:color="auto"/>
              <w:left w:val="single" w:sz="6" w:space="0" w:color="auto"/>
              <w:bottom w:val="single" w:sz="6" w:space="0" w:color="auto"/>
              <w:right w:val="single" w:sz="6" w:space="0" w:color="auto"/>
            </w:tcBorders>
          </w:tcPr>
          <w:p w14:paraId="485A8F55" w14:textId="77777777" w:rsidR="002A648E" w:rsidRPr="006252C3" w:rsidRDefault="002A648E" w:rsidP="00A17213">
            <w:pPr>
              <w:widowControl w:val="0"/>
              <w:autoSpaceDE w:val="0"/>
              <w:autoSpaceDN w:val="0"/>
              <w:adjustRightInd w:val="0"/>
              <w:rPr>
                <w:rFonts w:cs="Calibri"/>
                <w:b/>
                <w:bCs/>
                <w:sz w:val="20"/>
                <w:szCs w:val="20"/>
              </w:rPr>
            </w:pPr>
          </w:p>
        </w:tc>
      </w:tr>
      <w:tr w:rsidR="00215CC3" w:rsidRPr="006252C3" w14:paraId="2C1115DC" w14:textId="77777777" w:rsidTr="00624D1B">
        <w:tc>
          <w:tcPr>
            <w:tcW w:w="709" w:type="dxa"/>
            <w:tcBorders>
              <w:top w:val="single" w:sz="6" w:space="0" w:color="auto"/>
              <w:left w:val="single" w:sz="6" w:space="0" w:color="auto"/>
              <w:bottom w:val="single" w:sz="6" w:space="0" w:color="auto"/>
              <w:right w:val="single" w:sz="6" w:space="0" w:color="auto"/>
            </w:tcBorders>
          </w:tcPr>
          <w:p w14:paraId="5BBDDF8B" w14:textId="2D4D41F1" w:rsidR="00215CC3" w:rsidRPr="006252C3" w:rsidRDefault="006E664D" w:rsidP="00215CC3">
            <w:pPr>
              <w:widowControl w:val="0"/>
              <w:autoSpaceDE w:val="0"/>
              <w:autoSpaceDN w:val="0"/>
              <w:adjustRightInd w:val="0"/>
              <w:rPr>
                <w:rFonts w:cs="Calibri"/>
                <w:sz w:val="20"/>
                <w:szCs w:val="20"/>
              </w:rPr>
            </w:pPr>
            <w:r>
              <w:rPr>
                <w:rFonts w:cs="Calibri"/>
                <w:sz w:val="20"/>
                <w:szCs w:val="20"/>
              </w:rPr>
              <w:t>6</w:t>
            </w:r>
          </w:p>
        </w:tc>
        <w:tc>
          <w:tcPr>
            <w:tcW w:w="8569" w:type="dxa"/>
            <w:tcBorders>
              <w:top w:val="single" w:sz="6" w:space="0" w:color="auto"/>
              <w:left w:val="single" w:sz="6" w:space="0" w:color="auto"/>
              <w:bottom w:val="single" w:sz="6" w:space="0" w:color="auto"/>
              <w:right w:val="single" w:sz="6" w:space="0" w:color="auto"/>
            </w:tcBorders>
          </w:tcPr>
          <w:p w14:paraId="03E17401" w14:textId="4CE8FC77" w:rsidR="00215CC3" w:rsidRPr="00474A86" w:rsidRDefault="00215CC3" w:rsidP="00474A86">
            <w:pPr>
              <w:widowControl w:val="0"/>
              <w:autoSpaceDE w:val="0"/>
              <w:autoSpaceDN w:val="0"/>
              <w:adjustRightInd w:val="0"/>
              <w:rPr>
                <w:rFonts w:cstheme="minorHAnsi"/>
              </w:rPr>
            </w:pPr>
            <w:r w:rsidRPr="00C02BEC">
              <w:rPr>
                <w:rFonts w:cstheme="minorHAnsi"/>
                <w:b/>
                <w:bCs/>
              </w:rPr>
              <w:t>Landelijk afvalbeheerplan (LAP)</w:t>
            </w:r>
            <w:r w:rsidR="00474A86">
              <w:rPr>
                <w:rFonts w:cstheme="minorHAnsi"/>
                <w:b/>
                <w:bCs/>
              </w:rPr>
              <w:t xml:space="preserve">: </w:t>
            </w:r>
            <w:r w:rsidR="00474A86" w:rsidRPr="00474A86">
              <w:rPr>
                <w:rFonts w:cstheme="minorHAnsi"/>
              </w:rPr>
              <w:t>Bedrijven en organisaties moeten hun afval scheiden, zodat het op de juiste manier verwerkt kan worden. Hoe afval verwerkt moet worden staat in het LAP.</w:t>
            </w:r>
            <w:r w:rsidR="00474A86">
              <w:rPr>
                <w:rFonts w:cstheme="minorHAnsi"/>
              </w:rPr>
              <w:t xml:space="preserve"> </w:t>
            </w:r>
            <w:r w:rsidR="00474A86" w:rsidRPr="00474A86">
              <w:rPr>
                <w:rFonts w:cstheme="minorHAnsi"/>
              </w:rPr>
              <w:t xml:space="preserve">In de wet staat een lijst met de afvalcategorieën die door bedrijven gescheiden moeten worden gehouden. In het LAP is verder uitgewerkt wanneer bedrijven de afvalcategorieën moeten scheiden. Dit is gebaseerd op de hoeveelheid, manier van vrijkomen en de kosten. </w:t>
            </w:r>
          </w:p>
          <w:p w14:paraId="1E35B83B" w14:textId="5362992E" w:rsidR="00C02BEC" w:rsidRPr="00124773" w:rsidRDefault="00C02BEC" w:rsidP="00215CC3">
            <w:pPr>
              <w:widowControl w:val="0"/>
              <w:autoSpaceDE w:val="0"/>
              <w:autoSpaceDN w:val="0"/>
              <w:adjustRightInd w:val="0"/>
              <w:rPr>
                <w:rFonts w:cstheme="minorHAnsi"/>
              </w:rPr>
            </w:pPr>
            <w:r>
              <w:rPr>
                <w:rFonts w:cstheme="minorHAnsi"/>
              </w:rPr>
              <w:t>Meer informatie:</w:t>
            </w:r>
            <w:r w:rsidR="00474A86">
              <w:rPr>
                <w:rFonts w:cstheme="minorHAnsi"/>
              </w:rPr>
              <w:t xml:space="preserve"> </w:t>
            </w:r>
            <w:hyperlink r:id="rId17" w:history="1">
              <w:r w:rsidR="00474A86" w:rsidRPr="0022084B">
                <w:rPr>
                  <w:rStyle w:val="Hyperlink"/>
                  <w:rFonts w:cstheme="minorHAnsi"/>
                </w:rPr>
                <w:t>https://ondernemersplein.kvk.nl/afvalwijzer-voor-bedrijven</w:t>
              </w:r>
            </w:hyperlink>
            <w:r w:rsidR="00474A86">
              <w:rPr>
                <w:rFonts w:cstheme="minorHAnsi"/>
              </w:rPr>
              <w:t xml:space="preserve"> </w:t>
            </w:r>
          </w:p>
        </w:tc>
        <w:tc>
          <w:tcPr>
            <w:tcW w:w="1559" w:type="dxa"/>
            <w:tcBorders>
              <w:top w:val="single" w:sz="6" w:space="0" w:color="auto"/>
              <w:left w:val="single" w:sz="6" w:space="0" w:color="auto"/>
              <w:bottom w:val="single" w:sz="6" w:space="0" w:color="auto"/>
              <w:right w:val="single" w:sz="6" w:space="0" w:color="auto"/>
            </w:tcBorders>
          </w:tcPr>
          <w:p w14:paraId="0DE97605" w14:textId="6ECCAB1A" w:rsidR="00215CC3" w:rsidRPr="00474A86" w:rsidRDefault="00215CC3" w:rsidP="00215CC3">
            <w:pPr>
              <w:widowControl w:val="0"/>
              <w:autoSpaceDE w:val="0"/>
              <w:autoSpaceDN w:val="0"/>
              <w:adjustRightInd w:val="0"/>
              <w:jc w:val="center"/>
              <w:rPr>
                <w:rFonts w:cs="Calibri"/>
                <w:b/>
                <w:sz w:val="36"/>
                <w:szCs w:val="36"/>
              </w:rPr>
            </w:pP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0615556" w14:textId="77777777" w:rsidR="00215CC3" w:rsidRPr="006252C3" w:rsidRDefault="00215CC3" w:rsidP="00215CC3">
            <w:pPr>
              <w:widowControl w:val="0"/>
              <w:autoSpaceDE w:val="0"/>
              <w:autoSpaceDN w:val="0"/>
              <w:adjustRightInd w:val="0"/>
              <w:rPr>
                <w:rFonts w:cs="Calibri"/>
                <w:sz w:val="20"/>
                <w:szCs w:val="20"/>
              </w:rPr>
            </w:pPr>
          </w:p>
        </w:tc>
        <w:tc>
          <w:tcPr>
            <w:tcW w:w="1559" w:type="dxa"/>
            <w:tcBorders>
              <w:top w:val="single" w:sz="6" w:space="0" w:color="auto"/>
              <w:left w:val="single" w:sz="6" w:space="0" w:color="auto"/>
              <w:bottom w:val="single" w:sz="6" w:space="0" w:color="auto"/>
              <w:right w:val="single" w:sz="6" w:space="0" w:color="auto"/>
            </w:tcBorders>
          </w:tcPr>
          <w:p w14:paraId="4113B4EF" w14:textId="77777777" w:rsidR="00215CC3" w:rsidRPr="006252C3" w:rsidRDefault="00215CC3" w:rsidP="00215CC3">
            <w:pPr>
              <w:widowControl w:val="0"/>
              <w:autoSpaceDE w:val="0"/>
              <w:autoSpaceDN w:val="0"/>
              <w:adjustRightInd w:val="0"/>
              <w:rPr>
                <w:rFonts w:cs="Calibri"/>
                <w:b/>
                <w:bCs/>
                <w:sz w:val="20"/>
                <w:szCs w:val="20"/>
              </w:rPr>
            </w:pPr>
          </w:p>
        </w:tc>
      </w:tr>
      <w:tr w:rsidR="00215CC3" w:rsidRPr="006252C3" w14:paraId="689C3CBC" w14:textId="77777777" w:rsidTr="00624D1B">
        <w:tc>
          <w:tcPr>
            <w:tcW w:w="709" w:type="dxa"/>
            <w:tcBorders>
              <w:top w:val="single" w:sz="6" w:space="0" w:color="auto"/>
              <w:left w:val="single" w:sz="6" w:space="0" w:color="auto"/>
              <w:bottom w:val="single" w:sz="6" w:space="0" w:color="auto"/>
              <w:right w:val="single" w:sz="6" w:space="0" w:color="auto"/>
            </w:tcBorders>
          </w:tcPr>
          <w:p w14:paraId="1D1CF5BB" w14:textId="554F4A63" w:rsidR="00215CC3" w:rsidRPr="006252C3" w:rsidRDefault="006E664D" w:rsidP="00215CC3">
            <w:pPr>
              <w:widowControl w:val="0"/>
              <w:autoSpaceDE w:val="0"/>
              <w:autoSpaceDN w:val="0"/>
              <w:adjustRightInd w:val="0"/>
              <w:rPr>
                <w:rFonts w:cs="Calibri"/>
                <w:sz w:val="20"/>
                <w:szCs w:val="20"/>
              </w:rPr>
            </w:pPr>
            <w:r>
              <w:rPr>
                <w:rStyle w:val="st"/>
                <w:sz w:val="20"/>
                <w:szCs w:val="20"/>
              </w:rPr>
              <w:t>7</w:t>
            </w:r>
          </w:p>
        </w:tc>
        <w:tc>
          <w:tcPr>
            <w:tcW w:w="8569" w:type="dxa"/>
            <w:tcBorders>
              <w:top w:val="single" w:sz="6" w:space="0" w:color="auto"/>
              <w:left w:val="single" w:sz="6" w:space="0" w:color="auto"/>
              <w:bottom w:val="single" w:sz="6" w:space="0" w:color="auto"/>
              <w:right w:val="single" w:sz="6" w:space="0" w:color="auto"/>
            </w:tcBorders>
          </w:tcPr>
          <w:p w14:paraId="4CD4F223" w14:textId="5D82A794" w:rsidR="00215CC3" w:rsidRPr="00C02BEC" w:rsidRDefault="00215CC3" w:rsidP="00215CC3">
            <w:pPr>
              <w:widowControl w:val="0"/>
              <w:autoSpaceDE w:val="0"/>
              <w:autoSpaceDN w:val="0"/>
              <w:adjustRightInd w:val="0"/>
              <w:rPr>
                <w:rFonts w:cstheme="minorHAnsi"/>
                <w:b/>
                <w:bCs/>
              </w:rPr>
            </w:pPr>
            <w:r w:rsidRPr="00C02BEC">
              <w:rPr>
                <w:rFonts w:cstheme="minorHAnsi"/>
                <w:b/>
                <w:bCs/>
              </w:rPr>
              <w:t>Besluit kunststofproducten voor eenmalig gebruik</w:t>
            </w:r>
            <w:r w:rsidR="00C27C66">
              <w:rPr>
                <w:rFonts w:cstheme="minorHAnsi"/>
                <w:b/>
                <w:bCs/>
              </w:rPr>
              <w:t xml:space="preserve">: </w:t>
            </w:r>
            <w:r w:rsidR="00C27C66" w:rsidRPr="00C27C66">
              <w:rPr>
                <w:rFonts w:cstheme="minorHAnsi"/>
              </w:rPr>
              <w:t>Sinds 3 juli 2021 geldt in de EU namelijk een verbod op plastic wegwerpartikelen zoals rietjes, bestek, borden, wattenstaafjes en ballonstokjes.</w:t>
            </w:r>
            <w:r w:rsidR="00C27C66">
              <w:rPr>
                <w:rFonts w:cstheme="minorHAnsi"/>
              </w:rPr>
              <w:t xml:space="preserve">  Daarboven op bereid h</w:t>
            </w:r>
            <w:r w:rsidR="00C27C66" w:rsidRPr="00C27C66">
              <w:rPr>
                <w:rFonts w:cstheme="minorHAnsi"/>
              </w:rPr>
              <w:t xml:space="preserve">et ministerie van IenW bereidt regelgeving voor om het aantal kunststof producten voor eenmalig gebruik (zgn. wegwerpplastics) in het zwerfafval </w:t>
            </w:r>
            <w:r w:rsidR="00C27C66">
              <w:rPr>
                <w:rFonts w:cstheme="minorHAnsi"/>
              </w:rPr>
              <w:t xml:space="preserve">nog verder </w:t>
            </w:r>
            <w:r w:rsidR="00C27C66" w:rsidRPr="00C27C66">
              <w:rPr>
                <w:rFonts w:cstheme="minorHAnsi"/>
              </w:rPr>
              <w:t>te verminderen</w:t>
            </w:r>
            <w:r w:rsidR="00C27C66">
              <w:rPr>
                <w:rFonts w:cstheme="minorHAnsi"/>
              </w:rPr>
              <w:t>. Deze aanvullende regels worden naar verwachting vanaf 1 januari 202</w:t>
            </w:r>
            <w:r w:rsidR="005F2F81">
              <w:rPr>
                <w:rFonts w:cstheme="minorHAnsi"/>
              </w:rPr>
              <w:t>3 van kracht.</w:t>
            </w:r>
          </w:p>
          <w:p w14:paraId="7B0BCF9C" w14:textId="72C23D8E" w:rsidR="00124773" w:rsidRPr="00124773" w:rsidRDefault="00124773" w:rsidP="00215CC3">
            <w:pPr>
              <w:widowControl w:val="0"/>
              <w:autoSpaceDE w:val="0"/>
              <w:autoSpaceDN w:val="0"/>
              <w:adjustRightInd w:val="0"/>
              <w:rPr>
                <w:rFonts w:cstheme="minorHAnsi"/>
              </w:rPr>
            </w:pPr>
            <w:r>
              <w:rPr>
                <w:rFonts w:cstheme="minorHAnsi"/>
              </w:rPr>
              <w:t>Meer informatie:</w:t>
            </w:r>
            <w:r w:rsidR="005F2F81">
              <w:rPr>
                <w:rFonts w:cstheme="minorHAnsi"/>
              </w:rPr>
              <w:t xml:space="preserve"> </w:t>
            </w:r>
            <w:hyperlink r:id="rId18" w:history="1">
              <w:r w:rsidR="005F2F81" w:rsidRPr="0022084B">
                <w:rPr>
                  <w:rStyle w:val="Hyperlink"/>
                  <w:rFonts w:cstheme="minorHAnsi"/>
                </w:rPr>
                <w:t>https://www.internetconsultatie.nl/regeling_sup_single_use_plastics</w:t>
              </w:r>
            </w:hyperlink>
            <w:r w:rsidR="005F2F81">
              <w:rPr>
                <w:rFonts w:cstheme="minorHAnsi"/>
              </w:rPr>
              <w:t xml:space="preserve"> </w:t>
            </w:r>
          </w:p>
        </w:tc>
        <w:tc>
          <w:tcPr>
            <w:tcW w:w="1559" w:type="dxa"/>
            <w:tcBorders>
              <w:top w:val="single" w:sz="6" w:space="0" w:color="auto"/>
              <w:left w:val="single" w:sz="6" w:space="0" w:color="auto"/>
              <w:bottom w:val="single" w:sz="6" w:space="0" w:color="auto"/>
              <w:right w:val="single" w:sz="6" w:space="0" w:color="auto"/>
            </w:tcBorders>
          </w:tcPr>
          <w:p w14:paraId="0F289B38" w14:textId="3CCD05D9" w:rsidR="00215CC3" w:rsidRPr="00474A86" w:rsidRDefault="00215CC3" w:rsidP="00474A86">
            <w:pPr>
              <w:widowControl w:val="0"/>
              <w:autoSpaceDE w:val="0"/>
              <w:autoSpaceDN w:val="0"/>
              <w:adjustRightInd w:val="0"/>
              <w:jc w:val="center"/>
              <w:rPr>
                <w:rFonts w:cs="Calibri"/>
                <w:b/>
                <w:bCs/>
                <w:sz w:val="36"/>
                <w:szCs w:val="36"/>
              </w:rPr>
            </w:pP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3D77D73" w14:textId="77777777" w:rsidR="00215CC3" w:rsidRPr="006252C3" w:rsidRDefault="00215CC3" w:rsidP="00215CC3">
            <w:pPr>
              <w:widowControl w:val="0"/>
              <w:autoSpaceDE w:val="0"/>
              <w:autoSpaceDN w:val="0"/>
              <w:adjustRightInd w:val="0"/>
              <w:rPr>
                <w:rFonts w:cs="Calibri"/>
                <w:sz w:val="20"/>
                <w:szCs w:val="20"/>
              </w:rPr>
            </w:pPr>
          </w:p>
        </w:tc>
        <w:tc>
          <w:tcPr>
            <w:tcW w:w="1559" w:type="dxa"/>
            <w:tcBorders>
              <w:top w:val="single" w:sz="6" w:space="0" w:color="auto"/>
              <w:left w:val="single" w:sz="6" w:space="0" w:color="auto"/>
              <w:bottom w:val="single" w:sz="6" w:space="0" w:color="auto"/>
              <w:right w:val="single" w:sz="6" w:space="0" w:color="auto"/>
            </w:tcBorders>
          </w:tcPr>
          <w:p w14:paraId="1CF470E8" w14:textId="77777777" w:rsidR="00215CC3" w:rsidRPr="006252C3" w:rsidRDefault="00215CC3" w:rsidP="00215CC3">
            <w:pPr>
              <w:widowControl w:val="0"/>
              <w:autoSpaceDE w:val="0"/>
              <w:autoSpaceDN w:val="0"/>
              <w:adjustRightInd w:val="0"/>
              <w:rPr>
                <w:rFonts w:cs="Calibri"/>
                <w:b/>
                <w:bCs/>
                <w:sz w:val="20"/>
                <w:szCs w:val="20"/>
              </w:rPr>
            </w:pPr>
          </w:p>
        </w:tc>
      </w:tr>
      <w:tr w:rsidR="00215CC3" w:rsidRPr="006252C3" w14:paraId="21DCB571" w14:textId="77777777" w:rsidTr="00624D1B">
        <w:tc>
          <w:tcPr>
            <w:tcW w:w="709" w:type="dxa"/>
            <w:tcBorders>
              <w:top w:val="single" w:sz="6" w:space="0" w:color="auto"/>
              <w:left w:val="single" w:sz="6" w:space="0" w:color="auto"/>
              <w:bottom w:val="single" w:sz="6" w:space="0" w:color="auto"/>
              <w:right w:val="single" w:sz="6" w:space="0" w:color="auto"/>
            </w:tcBorders>
          </w:tcPr>
          <w:p w14:paraId="4CD2EAF0" w14:textId="4A14A926" w:rsidR="00215CC3" w:rsidRPr="006252C3" w:rsidRDefault="006E664D" w:rsidP="00215CC3">
            <w:pPr>
              <w:widowControl w:val="0"/>
              <w:autoSpaceDE w:val="0"/>
              <w:autoSpaceDN w:val="0"/>
              <w:adjustRightInd w:val="0"/>
              <w:rPr>
                <w:rStyle w:val="st"/>
                <w:sz w:val="20"/>
                <w:szCs w:val="20"/>
              </w:rPr>
            </w:pPr>
            <w:r>
              <w:rPr>
                <w:rStyle w:val="st"/>
                <w:sz w:val="20"/>
                <w:szCs w:val="20"/>
              </w:rPr>
              <w:lastRenderedPageBreak/>
              <w:t>8</w:t>
            </w:r>
          </w:p>
        </w:tc>
        <w:tc>
          <w:tcPr>
            <w:tcW w:w="8569" w:type="dxa"/>
            <w:tcBorders>
              <w:top w:val="single" w:sz="6" w:space="0" w:color="auto"/>
              <w:left w:val="single" w:sz="6" w:space="0" w:color="auto"/>
              <w:bottom w:val="single" w:sz="6" w:space="0" w:color="auto"/>
              <w:right w:val="single" w:sz="6" w:space="0" w:color="auto"/>
            </w:tcBorders>
          </w:tcPr>
          <w:p w14:paraId="6A7A0575" w14:textId="77777777" w:rsidR="005F2F81" w:rsidRDefault="00215CC3" w:rsidP="005F2F81">
            <w:r w:rsidRPr="00C02BEC">
              <w:rPr>
                <w:b/>
                <w:bCs/>
              </w:rPr>
              <w:t>Warenwetbesluit Attractie en Speeltoestellen (WAS)</w:t>
            </w:r>
            <w:r w:rsidR="005F2F81">
              <w:rPr>
                <w:b/>
                <w:bCs/>
              </w:rPr>
              <w:t xml:space="preserve">: </w:t>
            </w:r>
            <w:r w:rsidR="005F2F81" w:rsidRPr="005F2F81">
              <w:t>Voor speeltoestellen is een speciale wet opgesteld; het Warenwetbesluit Attractie – en Speeltoestellen (WAS), waarin vermeld staat dat alle speeltoestellen in de openbare ruimte veilig moeten zijn. Het WAS is dus van toepassing op speeltoestellen in de publieke ruimte. Wanneer een toestel en de ondergrond aan deze normen voldoet wordt er een beoogd niveau van veiligheid gehaald.</w:t>
            </w:r>
            <w:r w:rsidR="005F2F81">
              <w:t xml:space="preserve">  </w:t>
            </w:r>
            <w:r w:rsidR="005F2F81" w:rsidRPr="005F2F81">
              <w:t xml:space="preserve">Alle toestellen </w:t>
            </w:r>
            <w:r w:rsidR="005F2F81">
              <w:t>die onder de regeling vallen</w:t>
            </w:r>
            <w:r w:rsidR="005F2F81" w:rsidRPr="005F2F81">
              <w:t xml:space="preserve"> dienen te worden voorzien van een certificaat van goedkeuring. </w:t>
            </w:r>
          </w:p>
          <w:p w14:paraId="528BCF94" w14:textId="4CEB5551" w:rsidR="00124773" w:rsidRPr="00124773" w:rsidRDefault="00124773" w:rsidP="005F2F81">
            <w:r w:rsidRPr="00124773">
              <w:t>Meer informatie:</w:t>
            </w:r>
            <w:r w:rsidR="005F2F81">
              <w:t xml:space="preserve"> </w:t>
            </w:r>
            <w:hyperlink r:id="rId19" w:history="1">
              <w:r w:rsidR="00D621FC" w:rsidRPr="0022084B">
                <w:rPr>
                  <w:rStyle w:val="Hyperlink"/>
                </w:rPr>
                <w:t>https://www.nvwa.nl/onderwerpen/speeltoestellen/warenwetbesluit-attractie-en-speeltoestellen</w:t>
              </w:r>
            </w:hyperlink>
            <w:r w:rsidR="00D621FC">
              <w:t xml:space="preserve"> </w:t>
            </w:r>
          </w:p>
        </w:tc>
        <w:tc>
          <w:tcPr>
            <w:tcW w:w="1559" w:type="dxa"/>
            <w:tcBorders>
              <w:top w:val="single" w:sz="6" w:space="0" w:color="auto"/>
              <w:left w:val="single" w:sz="6" w:space="0" w:color="auto"/>
              <w:bottom w:val="single" w:sz="6" w:space="0" w:color="auto"/>
              <w:right w:val="single" w:sz="6" w:space="0" w:color="auto"/>
            </w:tcBorders>
          </w:tcPr>
          <w:p w14:paraId="58A74B2A" w14:textId="77777777" w:rsidR="00215CC3" w:rsidRPr="006252C3" w:rsidRDefault="00215CC3" w:rsidP="00215CC3">
            <w:pPr>
              <w:widowControl w:val="0"/>
              <w:autoSpaceDE w:val="0"/>
              <w:autoSpaceDN w:val="0"/>
              <w:adjustRightInd w:val="0"/>
              <w:rPr>
                <w:rFonts w:cs="Calibri"/>
                <w:sz w:val="20"/>
                <w:szCs w:val="20"/>
              </w:rPr>
            </w:pP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4FB6167" w14:textId="77777777" w:rsidR="00215CC3" w:rsidRPr="006252C3" w:rsidRDefault="00215CC3" w:rsidP="00215CC3">
            <w:pPr>
              <w:widowControl w:val="0"/>
              <w:autoSpaceDE w:val="0"/>
              <w:autoSpaceDN w:val="0"/>
              <w:adjustRightInd w:val="0"/>
              <w:rPr>
                <w:rFonts w:cs="Calibri"/>
                <w:sz w:val="20"/>
                <w:szCs w:val="20"/>
              </w:rPr>
            </w:pPr>
          </w:p>
        </w:tc>
        <w:tc>
          <w:tcPr>
            <w:tcW w:w="1559" w:type="dxa"/>
            <w:tcBorders>
              <w:top w:val="single" w:sz="6" w:space="0" w:color="auto"/>
              <w:left w:val="single" w:sz="6" w:space="0" w:color="auto"/>
              <w:bottom w:val="single" w:sz="6" w:space="0" w:color="auto"/>
              <w:right w:val="single" w:sz="6" w:space="0" w:color="auto"/>
            </w:tcBorders>
          </w:tcPr>
          <w:p w14:paraId="5AD46969" w14:textId="77777777" w:rsidR="00215CC3" w:rsidRPr="006252C3" w:rsidRDefault="00215CC3" w:rsidP="00215CC3">
            <w:pPr>
              <w:widowControl w:val="0"/>
              <w:autoSpaceDE w:val="0"/>
              <w:autoSpaceDN w:val="0"/>
              <w:adjustRightInd w:val="0"/>
              <w:rPr>
                <w:rFonts w:cs="Calibri"/>
                <w:b/>
                <w:bCs/>
                <w:sz w:val="20"/>
                <w:szCs w:val="20"/>
              </w:rPr>
            </w:pPr>
          </w:p>
        </w:tc>
      </w:tr>
    </w:tbl>
    <w:p w14:paraId="75C4890A" w14:textId="184346D5" w:rsidR="00DE40D2" w:rsidRPr="002A764E" w:rsidRDefault="006252C3" w:rsidP="008F0B96">
      <w:pPr>
        <w:widowControl w:val="0"/>
        <w:autoSpaceDE w:val="0"/>
        <w:autoSpaceDN w:val="0"/>
        <w:adjustRightInd w:val="0"/>
        <w:rPr>
          <w:rFonts w:cs="Calibri"/>
        </w:rPr>
      </w:pPr>
      <w:r w:rsidRPr="006252C3">
        <w:rPr>
          <w:b/>
          <w:bCs/>
          <w:sz w:val="20"/>
          <w:szCs w:val="20"/>
        </w:rPr>
        <w:br/>
      </w:r>
      <w:r w:rsidR="00643D02">
        <w:rPr>
          <w:b/>
          <w:bCs/>
        </w:rPr>
        <w:t>B</w:t>
      </w:r>
      <w:r w:rsidR="00DE40D2" w:rsidRPr="002A764E">
        <w:rPr>
          <w:b/>
          <w:bCs/>
        </w:rPr>
        <w:t xml:space="preserve">. Verklaring voldoen aan </w:t>
      </w:r>
      <w:r w:rsidR="001A75E8" w:rsidRPr="002A764E">
        <w:rPr>
          <w:b/>
          <w:bCs/>
        </w:rPr>
        <w:t>W</w:t>
      </w:r>
      <w:r w:rsidR="00DE40D2" w:rsidRPr="002A764E">
        <w:rPr>
          <w:b/>
          <w:bCs/>
        </w:rPr>
        <w:t>et</w:t>
      </w:r>
      <w:r w:rsidR="00B166AD">
        <w:rPr>
          <w:b/>
          <w:bCs/>
        </w:rPr>
        <w:t>-</w:t>
      </w:r>
      <w:r w:rsidR="001A75E8" w:rsidRPr="002A764E">
        <w:rPr>
          <w:b/>
          <w:bCs/>
        </w:rPr>
        <w:t xml:space="preserve"> </w:t>
      </w:r>
      <w:r w:rsidR="00624D1B">
        <w:rPr>
          <w:b/>
          <w:bCs/>
        </w:rPr>
        <w:t>en</w:t>
      </w:r>
      <w:r w:rsidR="001A75E8" w:rsidRPr="002A764E">
        <w:rPr>
          <w:b/>
          <w:bCs/>
        </w:rPr>
        <w:t xml:space="preserve"> </w:t>
      </w:r>
      <w:r w:rsidR="00624D1B">
        <w:rPr>
          <w:b/>
          <w:bCs/>
        </w:rPr>
        <w:t>r</w:t>
      </w:r>
      <w:r w:rsidR="00DE40D2" w:rsidRPr="002A764E">
        <w:rPr>
          <w:b/>
          <w:bCs/>
        </w:rPr>
        <w:t>egelgeving</w:t>
      </w:r>
    </w:p>
    <w:p w14:paraId="0FCA3315" w14:textId="78BD1868" w:rsidR="003E4878" w:rsidRPr="002A764E" w:rsidRDefault="003E4878" w:rsidP="003E4878">
      <w:pPr>
        <w:widowControl w:val="0"/>
        <w:autoSpaceDE w:val="0"/>
        <w:autoSpaceDN w:val="0"/>
        <w:adjustRightInd w:val="0"/>
        <w:rPr>
          <w:rFonts w:cs="Calibri"/>
          <w:u w:val="single"/>
        </w:rPr>
      </w:pPr>
      <w:r w:rsidRPr="002A764E">
        <w:rPr>
          <w:rFonts w:cs="Calibri"/>
          <w:u w:val="single"/>
        </w:rPr>
        <w:t>In verband met de keuring voor Green Key verklaart ondergetekende, dat:</w:t>
      </w:r>
    </w:p>
    <w:p w14:paraId="26842603" w14:textId="5585FDA6" w:rsidR="00215CC3" w:rsidRDefault="00215CC3" w:rsidP="00831EF2">
      <w:pPr>
        <w:pStyle w:val="Lijstalinea"/>
        <w:widowControl w:val="0"/>
        <w:numPr>
          <w:ilvl w:val="0"/>
          <w:numId w:val="1"/>
        </w:numPr>
        <w:autoSpaceDE w:val="0"/>
        <w:autoSpaceDN w:val="0"/>
        <w:adjustRightInd w:val="0"/>
        <w:rPr>
          <w:rFonts w:cs="Calibri"/>
        </w:rPr>
      </w:pPr>
      <w:r w:rsidRPr="00215CC3">
        <w:rPr>
          <w:rFonts w:cs="Calibri"/>
        </w:rPr>
        <w:t>de</w:t>
      </w:r>
      <w:r w:rsidR="003E4878" w:rsidRPr="00215CC3">
        <w:rPr>
          <w:rFonts w:cs="Calibri"/>
        </w:rPr>
        <w:t xml:space="preserve"> organisatie zich op de hoogte heeft gesteld van en voldoet aan de voor </w:t>
      </w:r>
      <w:r w:rsidRPr="00215CC3">
        <w:rPr>
          <w:rFonts w:cs="Calibri"/>
        </w:rPr>
        <w:t>het</w:t>
      </w:r>
      <w:r w:rsidR="003E4878" w:rsidRPr="00215CC3">
        <w:rPr>
          <w:rFonts w:cs="Calibri"/>
        </w:rPr>
        <w:t xml:space="preserve"> bedrijf relevante wet- en regelgeving</w:t>
      </w:r>
      <w:r w:rsidR="00862AD0" w:rsidRPr="00215CC3">
        <w:rPr>
          <w:rFonts w:cs="Calibri"/>
        </w:rPr>
        <w:t xml:space="preserve"> (zie tabel </w:t>
      </w:r>
      <w:r w:rsidR="006252C3" w:rsidRPr="00215CC3">
        <w:rPr>
          <w:rFonts w:cs="Calibri"/>
        </w:rPr>
        <w:t>A</w:t>
      </w:r>
      <w:r w:rsidR="00862AD0" w:rsidRPr="00215CC3">
        <w:rPr>
          <w:rFonts w:cs="Calibri"/>
        </w:rPr>
        <w:t>.)</w:t>
      </w:r>
      <w:r>
        <w:rPr>
          <w:rFonts w:cs="Calibri"/>
        </w:rPr>
        <w:t>;</w:t>
      </w:r>
    </w:p>
    <w:p w14:paraId="5B165636" w14:textId="361EB52E" w:rsidR="003E4878" w:rsidRPr="00215CC3" w:rsidRDefault="00215CC3" w:rsidP="00831EF2">
      <w:pPr>
        <w:pStyle w:val="Lijstalinea"/>
        <w:widowControl w:val="0"/>
        <w:numPr>
          <w:ilvl w:val="0"/>
          <w:numId w:val="1"/>
        </w:numPr>
        <w:autoSpaceDE w:val="0"/>
        <w:autoSpaceDN w:val="0"/>
        <w:adjustRightInd w:val="0"/>
        <w:rPr>
          <w:rFonts w:cs="Calibri"/>
        </w:rPr>
      </w:pPr>
      <w:r w:rsidRPr="00215CC3">
        <w:rPr>
          <w:rFonts w:cs="Calibri"/>
        </w:rPr>
        <w:t xml:space="preserve">dat </w:t>
      </w:r>
      <w:r>
        <w:rPr>
          <w:rFonts w:cs="Calibri"/>
        </w:rPr>
        <w:t>(k</w:t>
      </w:r>
      <w:r w:rsidR="003E4878" w:rsidRPr="00215CC3">
        <w:rPr>
          <w:rFonts w:cs="Calibri"/>
        </w:rPr>
        <w:t>opieën van</w:t>
      </w:r>
      <w:r>
        <w:rPr>
          <w:rFonts w:cs="Calibri"/>
        </w:rPr>
        <w:t>)</w:t>
      </w:r>
      <w:r w:rsidR="003E4878" w:rsidRPr="00215CC3">
        <w:rPr>
          <w:rFonts w:cs="Calibri"/>
        </w:rPr>
        <w:t xml:space="preserve"> relevante </w:t>
      </w:r>
      <w:r>
        <w:rPr>
          <w:rFonts w:cs="Calibri"/>
        </w:rPr>
        <w:t>documenten</w:t>
      </w:r>
      <w:r w:rsidR="003E4878" w:rsidRPr="00215CC3">
        <w:rPr>
          <w:rFonts w:cs="Calibri"/>
        </w:rPr>
        <w:t xml:space="preserve"> zoals meldingen, vergunningen, risico inventarisatie(s), beheersplannen, actuele logboeken en dergelijke </w:t>
      </w:r>
      <w:r>
        <w:rPr>
          <w:rFonts w:cs="Calibri"/>
        </w:rPr>
        <w:t>in het gebouw aanwezig zijn en op verzoek getoond zullen worden;</w:t>
      </w:r>
      <w:r w:rsidR="003E4878" w:rsidRPr="00215CC3">
        <w:rPr>
          <w:rFonts w:cs="Calibri"/>
        </w:rPr>
        <w:t xml:space="preserve"> </w:t>
      </w:r>
    </w:p>
    <w:p w14:paraId="02F64E8E" w14:textId="13285258" w:rsidR="003E4878" w:rsidRPr="002A764E" w:rsidRDefault="00215CC3" w:rsidP="003E4878">
      <w:pPr>
        <w:pStyle w:val="Lijstalinea"/>
        <w:widowControl w:val="0"/>
        <w:numPr>
          <w:ilvl w:val="0"/>
          <w:numId w:val="1"/>
        </w:numPr>
        <w:autoSpaceDE w:val="0"/>
        <w:autoSpaceDN w:val="0"/>
        <w:adjustRightInd w:val="0"/>
        <w:rPr>
          <w:rFonts w:cs="Calibri"/>
        </w:rPr>
      </w:pPr>
      <w:r>
        <w:rPr>
          <w:rFonts w:cs="Calibri"/>
        </w:rPr>
        <w:t xml:space="preserve">van </w:t>
      </w:r>
      <w:r w:rsidR="003E4878" w:rsidRPr="002A764E">
        <w:rPr>
          <w:rFonts w:cs="Calibri"/>
        </w:rPr>
        <w:t>geen enkele overheidsinstantie een aanschrijv</w:t>
      </w:r>
      <w:r w:rsidR="00862AD0" w:rsidRPr="002A764E">
        <w:rPr>
          <w:rFonts w:cs="Calibri"/>
        </w:rPr>
        <w:t>ing</w:t>
      </w:r>
      <w:r w:rsidR="003E4878" w:rsidRPr="002A764E">
        <w:rPr>
          <w:rFonts w:cs="Calibri"/>
        </w:rPr>
        <w:t xml:space="preserve"> </w:t>
      </w:r>
      <w:r>
        <w:rPr>
          <w:rFonts w:cs="Calibri"/>
        </w:rPr>
        <w:t xml:space="preserve">is </w:t>
      </w:r>
      <w:r w:rsidR="003E4878" w:rsidRPr="002A764E">
        <w:rPr>
          <w:rFonts w:cs="Calibri"/>
        </w:rPr>
        <w:t>ontvangen</w:t>
      </w:r>
      <w:r w:rsidR="00643D02">
        <w:rPr>
          <w:rFonts w:cs="Calibri"/>
        </w:rPr>
        <w:t xml:space="preserve"> </w:t>
      </w:r>
      <w:r w:rsidR="00643D02" w:rsidRPr="002A764E">
        <w:rPr>
          <w:rFonts w:cs="Calibri"/>
        </w:rPr>
        <w:t>waaraan we geen gevolg hebben gegeven</w:t>
      </w:r>
      <w:r w:rsidR="00643D02">
        <w:rPr>
          <w:rFonts w:cs="Calibri"/>
        </w:rPr>
        <w:t>, of indien dit wel van toepassing is dat u dit hierboven heeft aangegeven</w:t>
      </w:r>
      <w:r>
        <w:rPr>
          <w:rFonts w:cs="Calibri"/>
        </w:rPr>
        <w:t>;</w:t>
      </w:r>
    </w:p>
    <w:p w14:paraId="3E305782" w14:textId="69C05D01" w:rsidR="001C70F4" w:rsidRDefault="00862AD0" w:rsidP="00B67F47">
      <w:pPr>
        <w:pStyle w:val="Lijstalinea"/>
        <w:widowControl w:val="0"/>
        <w:numPr>
          <w:ilvl w:val="0"/>
          <w:numId w:val="1"/>
        </w:numPr>
        <w:autoSpaceDE w:val="0"/>
        <w:autoSpaceDN w:val="0"/>
        <w:adjustRightInd w:val="0"/>
        <w:rPr>
          <w:rFonts w:cs="Calibri"/>
        </w:rPr>
      </w:pPr>
      <w:r w:rsidRPr="002A764E">
        <w:rPr>
          <w:rFonts w:cs="Calibri"/>
        </w:rPr>
        <w:t>w</w:t>
      </w:r>
      <w:r w:rsidR="003E4878" w:rsidRPr="002A764E">
        <w:rPr>
          <w:rFonts w:cs="Calibri"/>
        </w:rPr>
        <w:t xml:space="preserve">ij </w:t>
      </w:r>
      <w:r w:rsidR="000B24DD" w:rsidRPr="002A764E">
        <w:rPr>
          <w:rFonts w:cs="Calibri"/>
        </w:rPr>
        <w:t>alle</w:t>
      </w:r>
      <w:r w:rsidR="003E4878" w:rsidRPr="002A764E">
        <w:rPr>
          <w:rFonts w:cs="Calibri"/>
        </w:rPr>
        <w:t xml:space="preserve"> </w:t>
      </w:r>
      <w:r w:rsidR="00751E0C" w:rsidRPr="002A764E">
        <w:rPr>
          <w:rFonts w:cs="Calibri"/>
        </w:rPr>
        <w:t xml:space="preserve">vragen </w:t>
      </w:r>
      <w:r w:rsidR="000B24DD" w:rsidRPr="002A764E">
        <w:rPr>
          <w:rFonts w:cs="Calibri"/>
        </w:rPr>
        <w:t xml:space="preserve">op dit formulier </w:t>
      </w:r>
      <w:r w:rsidR="003E4878" w:rsidRPr="002A764E">
        <w:rPr>
          <w:rFonts w:cs="Calibri"/>
        </w:rPr>
        <w:t>naar waarheid hebben ingevuld.</w:t>
      </w:r>
    </w:p>
    <w:p w14:paraId="13BCE24E" w14:textId="77777777" w:rsidR="00624D1B" w:rsidRDefault="00624D1B" w:rsidP="00624D1B">
      <w:pPr>
        <w:pStyle w:val="Lijstalinea"/>
        <w:widowControl w:val="0"/>
        <w:autoSpaceDE w:val="0"/>
        <w:autoSpaceDN w:val="0"/>
        <w:adjustRightInd w:val="0"/>
        <w:rPr>
          <w:rFonts w:cs="Calibri"/>
        </w:rPr>
      </w:pPr>
    </w:p>
    <w:tbl>
      <w:tblPr>
        <w:tblW w:w="13459" w:type="dxa"/>
        <w:tblLayout w:type="fixed"/>
        <w:tblCellMar>
          <w:left w:w="70" w:type="dxa"/>
          <w:right w:w="70" w:type="dxa"/>
        </w:tblCellMar>
        <w:tblLook w:val="0000" w:firstRow="0" w:lastRow="0" w:firstColumn="0" w:lastColumn="0" w:noHBand="0" w:noVBand="0"/>
      </w:tblPr>
      <w:tblGrid>
        <w:gridCol w:w="2827"/>
        <w:gridCol w:w="284"/>
        <w:gridCol w:w="10348"/>
      </w:tblGrid>
      <w:tr w:rsidR="00624D1B" w:rsidRPr="002A764E" w14:paraId="79ED2508" w14:textId="77777777" w:rsidTr="00624D1B">
        <w:trPr>
          <w:trHeight w:val="454"/>
        </w:trPr>
        <w:tc>
          <w:tcPr>
            <w:tcW w:w="2827" w:type="dxa"/>
            <w:tcBorders>
              <w:top w:val="single" w:sz="6" w:space="0" w:color="auto"/>
              <w:left w:val="single" w:sz="6" w:space="0" w:color="auto"/>
              <w:bottom w:val="single" w:sz="6" w:space="0" w:color="auto"/>
              <w:right w:val="single" w:sz="6" w:space="0" w:color="auto"/>
            </w:tcBorders>
            <w:vAlign w:val="center"/>
          </w:tcPr>
          <w:p w14:paraId="2B829CDB" w14:textId="3A6E390F" w:rsidR="00624D1B" w:rsidRPr="00624D1B" w:rsidRDefault="00624D1B" w:rsidP="00A17213">
            <w:pPr>
              <w:widowControl w:val="0"/>
              <w:autoSpaceDE w:val="0"/>
              <w:autoSpaceDN w:val="0"/>
              <w:adjustRightInd w:val="0"/>
              <w:rPr>
                <w:rFonts w:cs="Calibri"/>
                <w:b/>
                <w:bCs/>
              </w:rPr>
            </w:pPr>
            <w:r w:rsidRPr="00624D1B">
              <w:rPr>
                <w:rFonts w:cs="Calibri"/>
                <w:b/>
                <w:bCs/>
              </w:rPr>
              <w:t>Naam en functie wettelijke vertegenwoordiger:</w:t>
            </w:r>
          </w:p>
        </w:tc>
        <w:tc>
          <w:tcPr>
            <w:tcW w:w="284" w:type="dxa"/>
            <w:tcBorders>
              <w:top w:val="single" w:sz="6" w:space="0" w:color="auto"/>
              <w:left w:val="single" w:sz="6" w:space="0" w:color="auto"/>
              <w:bottom w:val="single" w:sz="6" w:space="0" w:color="auto"/>
              <w:right w:val="single" w:sz="6" w:space="0" w:color="auto"/>
            </w:tcBorders>
            <w:vAlign w:val="center"/>
          </w:tcPr>
          <w:p w14:paraId="4CC8512E" w14:textId="32E135E3" w:rsidR="00624D1B" w:rsidRPr="002A764E" w:rsidRDefault="00624D1B" w:rsidP="00A17213">
            <w:pPr>
              <w:widowControl w:val="0"/>
              <w:autoSpaceDE w:val="0"/>
              <w:autoSpaceDN w:val="0"/>
              <w:adjustRightInd w:val="0"/>
              <w:rPr>
                <w:rFonts w:cs="Calibri"/>
              </w:rPr>
            </w:pPr>
            <w:r>
              <w:rPr>
                <w:rFonts w:cs="Calibri"/>
              </w:rPr>
              <w:t>:</w:t>
            </w:r>
          </w:p>
        </w:tc>
        <w:tc>
          <w:tcPr>
            <w:tcW w:w="10348" w:type="dxa"/>
            <w:tcBorders>
              <w:top w:val="single" w:sz="6" w:space="0" w:color="auto"/>
              <w:left w:val="single" w:sz="6" w:space="0" w:color="auto"/>
              <w:bottom w:val="single" w:sz="6" w:space="0" w:color="auto"/>
              <w:right w:val="single" w:sz="6" w:space="0" w:color="auto"/>
            </w:tcBorders>
            <w:vAlign w:val="center"/>
          </w:tcPr>
          <w:p w14:paraId="3BDF2076" w14:textId="77777777" w:rsidR="00624D1B" w:rsidRPr="002A764E" w:rsidRDefault="00624D1B" w:rsidP="00A17213">
            <w:pPr>
              <w:widowControl w:val="0"/>
              <w:autoSpaceDE w:val="0"/>
              <w:autoSpaceDN w:val="0"/>
              <w:adjustRightInd w:val="0"/>
              <w:rPr>
                <w:rFonts w:cs="Calibri"/>
              </w:rPr>
            </w:pPr>
          </w:p>
        </w:tc>
      </w:tr>
      <w:tr w:rsidR="001C70F4" w:rsidRPr="002A764E" w14:paraId="5B5D6905" w14:textId="77777777" w:rsidTr="00624D1B">
        <w:trPr>
          <w:trHeight w:val="454"/>
        </w:trPr>
        <w:tc>
          <w:tcPr>
            <w:tcW w:w="2827" w:type="dxa"/>
            <w:tcBorders>
              <w:top w:val="single" w:sz="6" w:space="0" w:color="auto"/>
              <w:left w:val="single" w:sz="6" w:space="0" w:color="auto"/>
              <w:bottom w:val="single" w:sz="6" w:space="0" w:color="auto"/>
              <w:right w:val="single" w:sz="6" w:space="0" w:color="auto"/>
            </w:tcBorders>
            <w:vAlign w:val="center"/>
          </w:tcPr>
          <w:p w14:paraId="5F99D95D" w14:textId="5B83B9F1" w:rsidR="003E4878" w:rsidRPr="00624D1B" w:rsidRDefault="003E4878" w:rsidP="00A17213">
            <w:pPr>
              <w:widowControl w:val="0"/>
              <w:autoSpaceDE w:val="0"/>
              <w:autoSpaceDN w:val="0"/>
              <w:adjustRightInd w:val="0"/>
              <w:rPr>
                <w:rFonts w:cs="Calibri"/>
                <w:b/>
                <w:bCs/>
              </w:rPr>
            </w:pPr>
            <w:r w:rsidRPr="00624D1B">
              <w:rPr>
                <w:rFonts w:cs="Calibri"/>
                <w:b/>
                <w:bCs/>
              </w:rPr>
              <w:t>Handtekening</w:t>
            </w:r>
            <w:r w:rsidR="00862AD0" w:rsidRPr="00624D1B">
              <w:rPr>
                <w:rFonts w:cs="Calibri"/>
                <w:b/>
                <w:bCs/>
              </w:rPr>
              <w:t xml:space="preserve"> </w:t>
            </w:r>
            <w:r w:rsidR="00215CC3" w:rsidRPr="00624D1B">
              <w:rPr>
                <w:rFonts w:cs="Calibri"/>
                <w:b/>
                <w:bCs/>
              </w:rPr>
              <w:t>wettelijk vertegenwoordiger</w:t>
            </w:r>
          </w:p>
        </w:tc>
        <w:tc>
          <w:tcPr>
            <w:tcW w:w="284" w:type="dxa"/>
            <w:tcBorders>
              <w:top w:val="single" w:sz="6" w:space="0" w:color="auto"/>
              <w:left w:val="single" w:sz="6" w:space="0" w:color="auto"/>
              <w:bottom w:val="single" w:sz="6" w:space="0" w:color="auto"/>
              <w:right w:val="single" w:sz="6" w:space="0" w:color="auto"/>
            </w:tcBorders>
            <w:vAlign w:val="center"/>
          </w:tcPr>
          <w:p w14:paraId="2C34AC0A" w14:textId="77777777" w:rsidR="003E4878" w:rsidRPr="002A764E" w:rsidRDefault="003E4878" w:rsidP="00A17213">
            <w:pPr>
              <w:widowControl w:val="0"/>
              <w:autoSpaceDE w:val="0"/>
              <w:autoSpaceDN w:val="0"/>
              <w:adjustRightInd w:val="0"/>
              <w:rPr>
                <w:rFonts w:cs="Calibri"/>
              </w:rPr>
            </w:pPr>
            <w:r w:rsidRPr="002A764E">
              <w:rPr>
                <w:rFonts w:cs="Calibri"/>
              </w:rPr>
              <w:t>:</w:t>
            </w:r>
          </w:p>
        </w:tc>
        <w:tc>
          <w:tcPr>
            <w:tcW w:w="10348" w:type="dxa"/>
            <w:tcBorders>
              <w:top w:val="single" w:sz="6" w:space="0" w:color="auto"/>
              <w:left w:val="single" w:sz="6" w:space="0" w:color="auto"/>
              <w:bottom w:val="single" w:sz="6" w:space="0" w:color="auto"/>
              <w:right w:val="single" w:sz="6" w:space="0" w:color="auto"/>
            </w:tcBorders>
            <w:vAlign w:val="center"/>
          </w:tcPr>
          <w:p w14:paraId="7BB8BAA5" w14:textId="77777777" w:rsidR="003E4878" w:rsidRPr="002A764E" w:rsidRDefault="003E4878" w:rsidP="00A17213">
            <w:pPr>
              <w:widowControl w:val="0"/>
              <w:autoSpaceDE w:val="0"/>
              <w:autoSpaceDN w:val="0"/>
              <w:adjustRightInd w:val="0"/>
              <w:rPr>
                <w:rFonts w:cs="Calibri"/>
              </w:rPr>
            </w:pPr>
          </w:p>
          <w:p w14:paraId="78DD42ED" w14:textId="77777777" w:rsidR="003E4878" w:rsidRPr="002A764E" w:rsidRDefault="003E4878" w:rsidP="00A17213">
            <w:pPr>
              <w:widowControl w:val="0"/>
              <w:autoSpaceDE w:val="0"/>
              <w:autoSpaceDN w:val="0"/>
              <w:adjustRightInd w:val="0"/>
              <w:rPr>
                <w:rFonts w:cs="Calibri"/>
              </w:rPr>
            </w:pPr>
          </w:p>
        </w:tc>
      </w:tr>
      <w:tr w:rsidR="001C70F4" w:rsidRPr="002A764E" w14:paraId="2676CA0C" w14:textId="77777777" w:rsidTr="00624D1B">
        <w:trPr>
          <w:trHeight w:val="454"/>
        </w:trPr>
        <w:tc>
          <w:tcPr>
            <w:tcW w:w="2827" w:type="dxa"/>
            <w:tcBorders>
              <w:top w:val="single" w:sz="6" w:space="0" w:color="auto"/>
              <w:left w:val="single" w:sz="6" w:space="0" w:color="auto"/>
              <w:bottom w:val="single" w:sz="6" w:space="0" w:color="auto"/>
              <w:right w:val="single" w:sz="6" w:space="0" w:color="auto"/>
            </w:tcBorders>
            <w:vAlign w:val="center"/>
          </w:tcPr>
          <w:p w14:paraId="2992C673" w14:textId="77777777" w:rsidR="003E4878" w:rsidRPr="00624D1B" w:rsidRDefault="003E4878" w:rsidP="00A17213">
            <w:pPr>
              <w:widowControl w:val="0"/>
              <w:autoSpaceDE w:val="0"/>
              <w:autoSpaceDN w:val="0"/>
              <w:adjustRightInd w:val="0"/>
              <w:rPr>
                <w:rFonts w:cs="Calibri"/>
                <w:b/>
                <w:bCs/>
              </w:rPr>
            </w:pPr>
            <w:r w:rsidRPr="00624D1B">
              <w:rPr>
                <w:rFonts w:cs="Calibri"/>
                <w:b/>
                <w:bCs/>
              </w:rPr>
              <w:t>Datum</w:t>
            </w:r>
          </w:p>
        </w:tc>
        <w:tc>
          <w:tcPr>
            <w:tcW w:w="284" w:type="dxa"/>
            <w:tcBorders>
              <w:top w:val="single" w:sz="6" w:space="0" w:color="auto"/>
              <w:left w:val="single" w:sz="6" w:space="0" w:color="auto"/>
              <w:bottom w:val="single" w:sz="6" w:space="0" w:color="auto"/>
              <w:right w:val="single" w:sz="6" w:space="0" w:color="auto"/>
            </w:tcBorders>
            <w:vAlign w:val="center"/>
          </w:tcPr>
          <w:p w14:paraId="7ED3F740" w14:textId="77777777" w:rsidR="003E4878" w:rsidRPr="002A764E" w:rsidRDefault="003E4878" w:rsidP="00A17213">
            <w:pPr>
              <w:widowControl w:val="0"/>
              <w:autoSpaceDE w:val="0"/>
              <w:autoSpaceDN w:val="0"/>
              <w:adjustRightInd w:val="0"/>
              <w:rPr>
                <w:rFonts w:cs="Calibri"/>
              </w:rPr>
            </w:pPr>
            <w:r w:rsidRPr="002A764E">
              <w:rPr>
                <w:rFonts w:cs="Calibri"/>
              </w:rPr>
              <w:t>:</w:t>
            </w:r>
          </w:p>
        </w:tc>
        <w:tc>
          <w:tcPr>
            <w:tcW w:w="10348" w:type="dxa"/>
            <w:tcBorders>
              <w:top w:val="single" w:sz="6" w:space="0" w:color="auto"/>
              <w:left w:val="single" w:sz="6" w:space="0" w:color="auto"/>
              <w:bottom w:val="single" w:sz="6" w:space="0" w:color="auto"/>
              <w:right w:val="single" w:sz="6" w:space="0" w:color="auto"/>
            </w:tcBorders>
            <w:vAlign w:val="center"/>
          </w:tcPr>
          <w:p w14:paraId="24C14B69" w14:textId="77777777" w:rsidR="003E4878" w:rsidRPr="002A764E" w:rsidRDefault="003E4878" w:rsidP="00A17213">
            <w:pPr>
              <w:widowControl w:val="0"/>
              <w:autoSpaceDE w:val="0"/>
              <w:autoSpaceDN w:val="0"/>
              <w:adjustRightInd w:val="0"/>
              <w:rPr>
                <w:rFonts w:cs="Calibri"/>
              </w:rPr>
            </w:pPr>
          </w:p>
        </w:tc>
      </w:tr>
      <w:tr w:rsidR="003E4878" w:rsidRPr="002A764E" w14:paraId="4CCEC08F" w14:textId="77777777" w:rsidTr="00624D1B">
        <w:trPr>
          <w:trHeight w:val="454"/>
        </w:trPr>
        <w:tc>
          <w:tcPr>
            <w:tcW w:w="2827" w:type="dxa"/>
            <w:tcBorders>
              <w:top w:val="single" w:sz="6" w:space="0" w:color="auto"/>
              <w:left w:val="single" w:sz="6" w:space="0" w:color="auto"/>
              <w:bottom w:val="single" w:sz="6" w:space="0" w:color="auto"/>
              <w:right w:val="single" w:sz="6" w:space="0" w:color="auto"/>
            </w:tcBorders>
            <w:vAlign w:val="center"/>
          </w:tcPr>
          <w:p w14:paraId="3631EC1A" w14:textId="77777777" w:rsidR="003E4878" w:rsidRPr="00624D1B" w:rsidRDefault="003E4878" w:rsidP="00A17213">
            <w:pPr>
              <w:widowControl w:val="0"/>
              <w:autoSpaceDE w:val="0"/>
              <w:autoSpaceDN w:val="0"/>
              <w:adjustRightInd w:val="0"/>
              <w:rPr>
                <w:rFonts w:cs="Calibri"/>
                <w:b/>
                <w:bCs/>
              </w:rPr>
            </w:pPr>
            <w:r w:rsidRPr="00624D1B">
              <w:rPr>
                <w:rFonts w:cs="Calibri"/>
                <w:b/>
                <w:bCs/>
              </w:rPr>
              <w:lastRenderedPageBreak/>
              <w:t>Plaats</w:t>
            </w:r>
          </w:p>
        </w:tc>
        <w:tc>
          <w:tcPr>
            <w:tcW w:w="284" w:type="dxa"/>
            <w:tcBorders>
              <w:top w:val="single" w:sz="6" w:space="0" w:color="auto"/>
              <w:left w:val="single" w:sz="6" w:space="0" w:color="auto"/>
              <w:bottom w:val="single" w:sz="6" w:space="0" w:color="auto"/>
              <w:right w:val="single" w:sz="6" w:space="0" w:color="auto"/>
            </w:tcBorders>
            <w:vAlign w:val="center"/>
          </w:tcPr>
          <w:p w14:paraId="343B6EB3" w14:textId="77777777" w:rsidR="003E4878" w:rsidRPr="002A764E" w:rsidRDefault="003E4878" w:rsidP="00A17213">
            <w:pPr>
              <w:widowControl w:val="0"/>
              <w:autoSpaceDE w:val="0"/>
              <w:autoSpaceDN w:val="0"/>
              <w:adjustRightInd w:val="0"/>
              <w:rPr>
                <w:rFonts w:cs="Calibri"/>
              </w:rPr>
            </w:pPr>
            <w:r w:rsidRPr="002A764E">
              <w:rPr>
                <w:rFonts w:cs="Calibri"/>
              </w:rPr>
              <w:t>:</w:t>
            </w:r>
          </w:p>
        </w:tc>
        <w:tc>
          <w:tcPr>
            <w:tcW w:w="10348" w:type="dxa"/>
            <w:tcBorders>
              <w:top w:val="single" w:sz="6" w:space="0" w:color="auto"/>
              <w:left w:val="single" w:sz="6" w:space="0" w:color="auto"/>
              <w:bottom w:val="single" w:sz="6" w:space="0" w:color="auto"/>
              <w:right w:val="single" w:sz="6" w:space="0" w:color="auto"/>
            </w:tcBorders>
            <w:vAlign w:val="center"/>
          </w:tcPr>
          <w:p w14:paraId="671286EB" w14:textId="77777777" w:rsidR="003E4878" w:rsidRPr="002A764E" w:rsidRDefault="003E4878" w:rsidP="00A17213">
            <w:pPr>
              <w:widowControl w:val="0"/>
              <w:autoSpaceDE w:val="0"/>
              <w:autoSpaceDN w:val="0"/>
              <w:adjustRightInd w:val="0"/>
              <w:rPr>
                <w:rFonts w:cs="Calibri"/>
              </w:rPr>
            </w:pPr>
          </w:p>
        </w:tc>
      </w:tr>
    </w:tbl>
    <w:p w14:paraId="32BE09F6" w14:textId="51C2D01E" w:rsidR="003E4878" w:rsidRDefault="003E4878" w:rsidP="006252C3">
      <w:pPr>
        <w:widowControl w:val="0"/>
        <w:autoSpaceDE w:val="0"/>
        <w:autoSpaceDN w:val="0"/>
        <w:adjustRightInd w:val="0"/>
        <w:spacing w:after="0" w:line="240" w:lineRule="auto"/>
        <w:rPr>
          <w:b/>
        </w:rPr>
      </w:pPr>
    </w:p>
    <w:p w14:paraId="39B6F494" w14:textId="2CD19842" w:rsidR="00B166AD" w:rsidRDefault="00D621FC" w:rsidP="006252C3">
      <w:pPr>
        <w:widowControl w:val="0"/>
        <w:autoSpaceDE w:val="0"/>
        <w:autoSpaceDN w:val="0"/>
        <w:adjustRightInd w:val="0"/>
        <w:spacing w:after="0" w:line="240" w:lineRule="auto"/>
        <w:rPr>
          <w:b/>
        </w:rPr>
      </w:pPr>
      <w:r>
        <w:rPr>
          <w:noProof/>
        </w:rPr>
        <w:drawing>
          <wp:anchor distT="0" distB="0" distL="114300" distR="114300" simplePos="0" relativeHeight="251661312" behindDoc="0" locked="0" layoutInCell="1" allowOverlap="1" wp14:anchorId="7FCAF942" wp14:editId="42BC2AFD">
            <wp:simplePos x="0" y="0"/>
            <wp:positionH relativeFrom="rightMargin">
              <wp:posOffset>-367665</wp:posOffset>
            </wp:positionH>
            <wp:positionV relativeFrom="paragraph">
              <wp:posOffset>1771015</wp:posOffset>
            </wp:positionV>
            <wp:extent cx="775335" cy="977443"/>
            <wp:effectExtent l="0" t="0" r="571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key_logo_2012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5335" cy="977443"/>
                    </a:xfrm>
                    <a:prstGeom prst="rect">
                      <a:avLst/>
                    </a:prstGeom>
                  </pic:spPr>
                </pic:pic>
              </a:graphicData>
            </a:graphic>
            <wp14:sizeRelH relativeFrom="page">
              <wp14:pctWidth>0</wp14:pctWidth>
            </wp14:sizeRelH>
            <wp14:sizeRelV relativeFrom="page">
              <wp14:pctHeight>0</wp14:pctHeight>
            </wp14:sizeRelV>
          </wp:anchor>
        </w:drawing>
      </w:r>
    </w:p>
    <w:sectPr w:rsidR="00B166AD" w:rsidSect="00A524BB">
      <w:headerReference w:type="default" r:id="rId20"/>
      <w:footerReference w:type="default" r:id="rId2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0BAD" w14:textId="77777777" w:rsidR="00A524BB" w:rsidRDefault="00A524BB" w:rsidP="00E910BC">
      <w:pPr>
        <w:spacing w:after="0" w:line="240" w:lineRule="auto"/>
      </w:pPr>
      <w:r>
        <w:separator/>
      </w:r>
    </w:p>
  </w:endnote>
  <w:endnote w:type="continuationSeparator" w:id="0">
    <w:p w14:paraId="5541FC9A" w14:textId="77777777" w:rsidR="00A524BB" w:rsidRDefault="00A524BB" w:rsidP="00E91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930777"/>
      <w:docPartObj>
        <w:docPartGallery w:val="Page Numbers (Bottom of Page)"/>
        <w:docPartUnique/>
      </w:docPartObj>
    </w:sdtPr>
    <w:sdtContent>
      <w:sdt>
        <w:sdtPr>
          <w:id w:val="483073107"/>
          <w:docPartObj>
            <w:docPartGallery w:val="Page Numbers (Top of Page)"/>
            <w:docPartUnique/>
          </w:docPartObj>
        </w:sdtPr>
        <w:sdtContent>
          <w:p w14:paraId="0C1AADCE" w14:textId="77777777" w:rsidR="00A17213" w:rsidRDefault="00A17213">
            <w:pPr>
              <w:pStyle w:val="Voettekst"/>
              <w:jc w:val="center"/>
            </w:pPr>
            <w:r w:rsidRPr="00862AD0">
              <w:rPr>
                <w:sz w:val="20"/>
                <w:szCs w:val="20"/>
              </w:rPr>
              <w:t xml:space="preserve">Pagina </w:t>
            </w:r>
            <w:r w:rsidRPr="00862AD0">
              <w:rPr>
                <w:b/>
                <w:sz w:val="20"/>
                <w:szCs w:val="20"/>
              </w:rPr>
              <w:fldChar w:fldCharType="begin"/>
            </w:r>
            <w:r w:rsidRPr="00862AD0">
              <w:rPr>
                <w:b/>
                <w:sz w:val="20"/>
                <w:szCs w:val="20"/>
              </w:rPr>
              <w:instrText>PAGE</w:instrText>
            </w:r>
            <w:r w:rsidRPr="00862AD0">
              <w:rPr>
                <w:b/>
                <w:sz w:val="20"/>
                <w:szCs w:val="20"/>
              </w:rPr>
              <w:fldChar w:fldCharType="separate"/>
            </w:r>
            <w:r w:rsidRPr="00862AD0">
              <w:rPr>
                <w:b/>
                <w:noProof/>
                <w:sz w:val="20"/>
                <w:szCs w:val="20"/>
              </w:rPr>
              <w:t>4</w:t>
            </w:r>
            <w:r w:rsidRPr="00862AD0">
              <w:rPr>
                <w:b/>
                <w:sz w:val="20"/>
                <w:szCs w:val="20"/>
              </w:rPr>
              <w:fldChar w:fldCharType="end"/>
            </w:r>
            <w:r w:rsidRPr="00862AD0">
              <w:rPr>
                <w:sz w:val="20"/>
                <w:szCs w:val="20"/>
              </w:rPr>
              <w:t xml:space="preserve"> van </w:t>
            </w:r>
            <w:r w:rsidRPr="00862AD0">
              <w:rPr>
                <w:b/>
                <w:sz w:val="20"/>
                <w:szCs w:val="20"/>
              </w:rPr>
              <w:fldChar w:fldCharType="begin"/>
            </w:r>
            <w:r w:rsidRPr="00862AD0">
              <w:rPr>
                <w:b/>
                <w:sz w:val="20"/>
                <w:szCs w:val="20"/>
              </w:rPr>
              <w:instrText>NUMPAGES</w:instrText>
            </w:r>
            <w:r w:rsidRPr="00862AD0">
              <w:rPr>
                <w:b/>
                <w:sz w:val="20"/>
                <w:szCs w:val="20"/>
              </w:rPr>
              <w:fldChar w:fldCharType="separate"/>
            </w:r>
            <w:r w:rsidRPr="00862AD0">
              <w:rPr>
                <w:b/>
                <w:noProof/>
                <w:sz w:val="20"/>
                <w:szCs w:val="20"/>
              </w:rPr>
              <w:t>4</w:t>
            </w:r>
            <w:r w:rsidRPr="00862AD0">
              <w:rPr>
                <w:b/>
                <w:sz w:val="20"/>
                <w:szCs w:val="20"/>
              </w:rPr>
              <w:fldChar w:fldCharType="end"/>
            </w:r>
          </w:p>
        </w:sdtContent>
      </w:sdt>
    </w:sdtContent>
  </w:sdt>
  <w:p w14:paraId="768A7A4B" w14:textId="77777777" w:rsidR="00A17213" w:rsidRDefault="00A172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0A6E" w14:textId="77777777" w:rsidR="00A524BB" w:rsidRDefault="00A524BB" w:rsidP="00E910BC">
      <w:pPr>
        <w:spacing w:after="0" w:line="240" w:lineRule="auto"/>
      </w:pPr>
      <w:r>
        <w:separator/>
      </w:r>
    </w:p>
  </w:footnote>
  <w:footnote w:type="continuationSeparator" w:id="0">
    <w:p w14:paraId="6D038EB6" w14:textId="77777777" w:rsidR="00A524BB" w:rsidRDefault="00A524BB" w:rsidP="00E91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B9C1" w14:textId="54CC3600" w:rsidR="00A17213" w:rsidRDefault="00A17213">
    <w:pPr>
      <w:pStyle w:val="Kopteks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8E1"/>
    <w:multiLevelType w:val="hybridMultilevel"/>
    <w:tmpl w:val="29481B52"/>
    <w:lvl w:ilvl="0" w:tplc="63B0B3F6">
      <w:start w:val="1"/>
      <w:numFmt w:val="decimal"/>
      <w:lvlText w:val="%1."/>
      <w:lvlJc w:val="left"/>
      <w:pPr>
        <w:ind w:left="720" w:hanging="360"/>
      </w:pPr>
      <w:rPr>
        <w:rFonts w:cstheme="minorBidi" w:hint="default"/>
        <w:color w:val="auto"/>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DC480F"/>
    <w:multiLevelType w:val="hybridMultilevel"/>
    <w:tmpl w:val="1F62338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CE6DE8"/>
    <w:multiLevelType w:val="hybridMultilevel"/>
    <w:tmpl w:val="0172EF38"/>
    <w:lvl w:ilvl="0" w:tplc="92C640EC">
      <w:start w:val="10"/>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F3435CA"/>
    <w:multiLevelType w:val="hybridMultilevel"/>
    <w:tmpl w:val="354620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AB1A0B"/>
    <w:multiLevelType w:val="hybridMultilevel"/>
    <w:tmpl w:val="38101BF0"/>
    <w:lvl w:ilvl="0" w:tplc="04130015">
      <w:start w:val="1"/>
      <w:numFmt w:val="upp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5" w15:restartNumberingAfterBreak="0">
    <w:nsid w:val="45952453"/>
    <w:multiLevelType w:val="hybridMultilevel"/>
    <w:tmpl w:val="89FC24DA"/>
    <w:lvl w:ilvl="0" w:tplc="ED7C5594">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E8C0F4A"/>
    <w:multiLevelType w:val="multilevel"/>
    <w:tmpl w:val="604811A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0F84BCF"/>
    <w:multiLevelType w:val="hybridMultilevel"/>
    <w:tmpl w:val="706E9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BA65CF"/>
    <w:multiLevelType w:val="hybridMultilevel"/>
    <w:tmpl w:val="0786D914"/>
    <w:lvl w:ilvl="0" w:tplc="81B6B6B6">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F1C5BBC"/>
    <w:multiLevelType w:val="hybridMultilevel"/>
    <w:tmpl w:val="CD8021D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FF7214C"/>
    <w:multiLevelType w:val="hybridMultilevel"/>
    <w:tmpl w:val="4746B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5C421FA"/>
    <w:multiLevelType w:val="hybridMultilevel"/>
    <w:tmpl w:val="B11E5AB0"/>
    <w:lvl w:ilvl="0" w:tplc="F3CC7FFE">
      <w:start w:val="1"/>
      <w:numFmt w:val="decimal"/>
      <w:lvlText w:val="%1."/>
      <w:lvlJc w:val="left"/>
      <w:pPr>
        <w:ind w:left="720" w:hanging="360"/>
      </w:pPr>
      <w:rPr>
        <w:rFonts w:hint="default"/>
        <w:color w:val="0000FF" w:themeColor="hyperlink"/>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BD568AC"/>
    <w:multiLevelType w:val="hybridMultilevel"/>
    <w:tmpl w:val="CD1EB5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E4D1826"/>
    <w:multiLevelType w:val="hybridMultilevel"/>
    <w:tmpl w:val="F5E280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81062790">
    <w:abstractNumId w:val="7"/>
  </w:num>
  <w:num w:numId="2" w16cid:durableId="1537964413">
    <w:abstractNumId w:val="4"/>
  </w:num>
  <w:num w:numId="3" w16cid:durableId="624000641">
    <w:abstractNumId w:val="9"/>
  </w:num>
  <w:num w:numId="4" w16cid:durableId="1734700561">
    <w:abstractNumId w:val="13"/>
  </w:num>
  <w:num w:numId="5" w16cid:durableId="1163276752">
    <w:abstractNumId w:val="11"/>
  </w:num>
  <w:num w:numId="6" w16cid:durableId="1200238841">
    <w:abstractNumId w:val="10"/>
  </w:num>
  <w:num w:numId="7" w16cid:durableId="699628032">
    <w:abstractNumId w:val="3"/>
  </w:num>
  <w:num w:numId="8" w16cid:durableId="1594970622">
    <w:abstractNumId w:val="2"/>
  </w:num>
  <w:num w:numId="9" w16cid:durableId="522747117">
    <w:abstractNumId w:val="8"/>
  </w:num>
  <w:num w:numId="10" w16cid:durableId="598870919">
    <w:abstractNumId w:val="0"/>
  </w:num>
  <w:num w:numId="11" w16cid:durableId="1049837514">
    <w:abstractNumId w:val="6"/>
  </w:num>
  <w:num w:numId="12" w16cid:durableId="25182897">
    <w:abstractNumId w:val="12"/>
  </w:num>
  <w:num w:numId="13" w16cid:durableId="708535503">
    <w:abstractNumId w:val="5"/>
  </w:num>
  <w:num w:numId="14" w16cid:durableId="1602909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49"/>
    <w:rsid w:val="000225E1"/>
    <w:rsid w:val="000308C3"/>
    <w:rsid w:val="0003458D"/>
    <w:rsid w:val="00050452"/>
    <w:rsid w:val="00066ADE"/>
    <w:rsid w:val="00070E17"/>
    <w:rsid w:val="00080042"/>
    <w:rsid w:val="000A68F7"/>
    <w:rsid w:val="000B24DD"/>
    <w:rsid w:val="000B731A"/>
    <w:rsid w:val="000D04E8"/>
    <w:rsid w:val="00112F26"/>
    <w:rsid w:val="00124773"/>
    <w:rsid w:val="00134753"/>
    <w:rsid w:val="00143C60"/>
    <w:rsid w:val="00173EC0"/>
    <w:rsid w:val="00185BC2"/>
    <w:rsid w:val="001972DC"/>
    <w:rsid w:val="001A0F5F"/>
    <w:rsid w:val="001A5856"/>
    <w:rsid w:val="001A65EC"/>
    <w:rsid w:val="001A75E8"/>
    <w:rsid w:val="001B1E1A"/>
    <w:rsid w:val="001B43B1"/>
    <w:rsid w:val="001C2621"/>
    <w:rsid w:val="001C70F4"/>
    <w:rsid w:val="001E5934"/>
    <w:rsid w:val="001F1BCC"/>
    <w:rsid w:val="001F7555"/>
    <w:rsid w:val="00202DF1"/>
    <w:rsid w:val="00215CC3"/>
    <w:rsid w:val="002240AB"/>
    <w:rsid w:val="00241A73"/>
    <w:rsid w:val="00243FDA"/>
    <w:rsid w:val="002611D5"/>
    <w:rsid w:val="0026492C"/>
    <w:rsid w:val="00271042"/>
    <w:rsid w:val="00273F84"/>
    <w:rsid w:val="002A0EAF"/>
    <w:rsid w:val="002A648E"/>
    <w:rsid w:val="002A764E"/>
    <w:rsid w:val="002B33E2"/>
    <w:rsid w:val="002B6684"/>
    <w:rsid w:val="002C063B"/>
    <w:rsid w:val="002C5C24"/>
    <w:rsid w:val="002D3684"/>
    <w:rsid w:val="002D674E"/>
    <w:rsid w:val="002E6A72"/>
    <w:rsid w:val="002F32FC"/>
    <w:rsid w:val="002F472B"/>
    <w:rsid w:val="002F5F05"/>
    <w:rsid w:val="00302C62"/>
    <w:rsid w:val="00324646"/>
    <w:rsid w:val="0035022B"/>
    <w:rsid w:val="00364AAE"/>
    <w:rsid w:val="00372F52"/>
    <w:rsid w:val="003A58EB"/>
    <w:rsid w:val="003E4878"/>
    <w:rsid w:val="003E7B71"/>
    <w:rsid w:val="00403F37"/>
    <w:rsid w:val="00446AE1"/>
    <w:rsid w:val="00474A86"/>
    <w:rsid w:val="004844EF"/>
    <w:rsid w:val="00484687"/>
    <w:rsid w:val="004E1223"/>
    <w:rsid w:val="004F17EE"/>
    <w:rsid w:val="004F6023"/>
    <w:rsid w:val="00524C72"/>
    <w:rsid w:val="005347C5"/>
    <w:rsid w:val="00544033"/>
    <w:rsid w:val="0055211C"/>
    <w:rsid w:val="00560FED"/>
    <w:rsid w:val="00575DC7"/>
    <w:rsid w:val="00584E45"/>
    <w:rsid w:val="00587CE0"/>
    <w:rsid w:val="005976A1"/>
    <w:rsid w:val="005B2043"/>
    <w:rsid w:val="005D7BBC"/>
    <w:rsid w:val="005E10FD"/>
    <w:rsid w:val="005E2C81"/>
    <w:rsid w:val="005E40DC"/>
    <w:rsid w:val="005F2F81"/>
    <w:rsid w:val="00603C97"/>
    <w:rsid w:val="00611F9F"/>
    <w:rsid w:val="00623FCF"/>
    <w:rsid w:val="006242B0"/>
    <w:rsid w:val="00624D1B"/>
    <w:rsid w:val="006252C3"/>
    <w:rsid w:val="00625953"/>
    <w:rsid w:val="00634915"/>
    <w:rsid w:val="00643D02"/>
    <w:rsid w:val="00661875"/>
    <w:rsid w:val="00664014"/>
    <w:rsid w:val="006A6875"/>
    <w:rsid w:val="006D07DA"/>
    <w:rsid w:val="006E0342"/>
    <w:rsid w:val="006E08E0"/>
    <w:rsid w:val="006E664D"/>
    <w:rsid w:val="006E777B"/>
    <w:rsid w:val="00706349"/>
    <w:rsid w:val="00730512"/>
    <w:rsid w:val="00734CC9"/>
    <w:rsid w:val="00751E0C"/>
    <w:rsid w:val="00764849"/>
    <w:rsid w:val="0078723C"/>
    <w:rsid w:val="008357E3"/>
    <w:rsid w:val="008372D2"/>
    <w:rsid w:val="00850C0B"/>
    <w:rsid w:val="00862AD0"/>
    <w:rsid w:val="00866D7E"/>
    <w:rsid w:val="00870B59"/>
    <w:rsid w:val="00876255"/>
    <w:rsid w:val="008863EA"/>
    <w:rsid w:val="00887B2F"/>
    <w:rsid w:val="008979E2"/>
    <w:rsid w:val="008A2160"/>
    <w:rsid w:val="008C0078"/>
    <w:rsid w:val="008C6445"/>
    <w:rsid w:val="008F0B96"/>
    <w:rsid w:val="00912C8F"/>
    <w:rsid w:val="00966D12"/>
    <w:rsid w:val="00992048"/>
    <w:rsid w:val="009D02C4"/>
    <w:rsid w:val="00A17213"/>
    <w:rsid w:val="00A524BB"/>
    <w:rsid w:val="00A66F5F"/>
    <w:rsid w:val="00A67E00"/>
    <w:rsid w:val="00A75135"/>
    <w:rsid w:val="00A8237F"/>
    <w:rsid w:val="00A864ED"/>
    <w:rsid w:val="00A968F8"/>
    <w:rsid w:val="00AA488D"/>
    <w:rsid w:val="00AB04B3"/>
    <w:rsid w:val="00AB17A7"/>
    <w:rsid w:val="00AB6D67"/>
    <w:rsid w:val="00AE6180"/>
    <w:rsid w:val="00B166AD"/>
    <w:rsid w:val="00B24CB3"/>
    <w:rsid w:val="00B36101"/>
    <w:rsid w:val="00B77E38"/>
    <w:rsid w:val="00B87B74"/>
    <w:rsid w:val="00B90957"/>
    <w:rsid w:val="00B95AD8"/>
    <w:rsid w:val="00B95BF6"/>
    <w:rsid w:val="00BB1FA7"/>
    <w:rsid w:val="00BE4F23"/>
    <w:rsid w:val="00BE6F13"/>
    <w:rsid w:val="00C02BEC"/>
    <w:rsid w:val="00C05A04"/>
    <w:rsid w:val="00C27C66"/>
    <w:rsid w:val="00C3592C"/>
    <w:rsid w:val="00C4537C"/>
    <w:rsid w:val="00C51790"/>
    <w:rsid w:val="00C53154"/>
    <w:rsid w:val="00C55E8C"/>
    <w:rsid w:val="00C62DBD"/>
    <w:rsid w:val="00C71AA1"/>
    <w:rsid w:val="00C72F77"/>
    <w:rsid w:val="00C84B99"/>
    <w:rsid w:val="00CE682A"/>
    <w:rsid w:val="00D06839"/>
    <w:rsid w:val="00D17B16"/>
    <w:rsid w:val="00D30CAF"/>
    <w:rsid w:val="00D422F3"/>
    <w:rsid w:val="00D621FC"/>
    <w:rsid w:val="00D8265F"/>
    <w:rsid w:val="00DA5250"/>
    <w:rsid w:val="00DE40D2"/>
    <w:rsid w:val="00DE60F9"/>
    <w:rsid w:val="00DF2BB7"/>
    <w:rsid w:val="00E20A42"/>
    <w:rsid w:val="00E21A27"/>
    <w:rsid w:val="00E45128"/>
    <w:rsid w:val="00E569B5"/>
    <w:rsid w:val="00E910BC"/>
    <w:rsid w:val="00EA5FF0"/>
    <w:rsid w:val="00EB54C2"/>
    <w:rsid w:val="00EC41BC"/>
    <w:rsid w:val="00F30814"/>
    <w:rsid w:val="00F36992"/>
    <w:rsid w:val="00F50536"/>
    <w:rsid w:val="00F736F7"/>
    <w:rsid w:val="00F8542B"/>
    <w:rsid w:val="00F94013"/>
    <w:rsid w:val="00FB108F"/>
    <w:rsid w:val="00FB3F2A"/>
    <w:rsid w:val="00FB597C"/>
    <w:rsid w:val="00FD552F"/>
    <w:rsid w:val="00FE646D"/>
    <w:rsid w:val="00FF09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050AF"/>
  <w15:docId w15:val="{71B57673-198C-49D0-9735-9399F484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72D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372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372D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Standaardalinea-lettertype"/>
    <w:uiPriority w:val="99"/>
    <w:unhideWhenUsed/>
    <w:rsid w:val="003E4878"/>
    <w:rPr>
      <w:color w:val="0000FF" w:themeColor="hyperlink"/>
      <w:u w:val="single"/>
    </w:rPr>
  </w:style>
  <w:style w:type="paragraph" w:styleId="Lijstalinea">
    <w:name w:val="List Paragraph"/>
    <w:basedOn w:val="Standaard"/>
    <w:uiPriority w:val="34"/>
    <w:qFormat/>
    <w:rsid w:val="003E4878"/>
    <w:pPr>
      <w:ind w:left="720"/>
      <w:contextualSpacing/>
    </w:pPr>
  </w:style>
  <w:style w:type="character" w:customStyle="1" w:styleId="st">
    <w:name w:val="st"/>
    <w:basedOn w:val="Standaardalinea-lettertype"/>
    <w:rsid w:val="005E2C81"/>
  </w:style>
  <w:style w:type="paragraph" w:styleId="Koptekst">
    <w:name w:val="header"/>
    <w:basedOn w:val="Standaard"/>
    <w:link w:val="KoptekstChar"/>
    <w:uiPriority w:val="99"/>
    <w:unhideWhenUsed/>
    <w:rsid w:val="00E910B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10BC"/>
  </w:style>
  <w:style w:type="paragraph" w:styleId="Voettekst">
    <w:name w:val="footer"/>
    <w:basedOn w:val="Standaard"/>
    <w:link w:val="VoettekstChar"/>
    <w:uiPriority w:val="99"/>
    <w:unhideWhenUsed/>
    <w:rsid w:val="00E910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10BC"/>
  </w:style>
  <w:style w:type="paragraph" w:styleId="Ballontekst">
    <w:name w:val="Balloon Text"/>
    <w:basedOn w:val="Standaard"/>
    <w:link w:val="BallontekstChar"/>
    <w:uiPriority w:val="99"/>
    <w:semiHidden/>
    <w:unhideWhenUsed/>
    <w:rsid w:val="00E910B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10BC"/>
    <w:rPr>
      <w:rFonts w:ascii="Tahoma" w:hAnsi="Tahoma" w:cs="Tahoma"/>
      <w:sz w:val="16"/>
      <w:szCs w:val="16"/>
    </w:rPr>
  </w:style>
  <w:style w:type="character" w:styleId="GevolgdeHyperlink">
    <w:name w:val="FollowedHyperlink"/>
    <w:basedOn w:val="Standaardalinea-lettertype"/>
    <w:uiPriority w:val="99"/>
    <w:semiHidden/>
    <w:unhideWhenUsed/>
    <w:rsid w:val="002E6A72"/>
    <w:rPr>
      <w:color w:val="800080" w:themeColor="followedHyperlink"/>
      <w:u w:val="single"/>
    </w:rPr>
  </w:style>
  <w:style w:type="character" w:styleId="Onopgelostemelding">
    <w:name w:val="Unresolved Mention"/>
    <w:basedOn w:val="Standaardalinea-lettertype"/>
    <w:uiPriority w:val="99"/>
    <w:semiHidden/>
    <w:unhideWhenUsed/>
    <w:rsid w:val="00603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45785">
      <w:bodyDiv w:val="1"/>
      <w:marLeft w:val="0"/>
      <w:marRight w:val="0"/>
      <w:marTop w:val="0"/>
      <w:marBottom w:val="0"/>
      <w:divBdr>
        <w:top w:val="none" w:sz="0" w:space="0" w:color="auto"/>
        <w:left w:val="none" w:sz="0" w:space="0" w:color="auto"/>
        <w:bottom w:val="none" w:sz="0" w:space="0" w:color="auto"/>
        <w:right w:val="none" w:sz="0" w:space="0" w:color="auto"/>
      </w:divBdr>
    </w:div>
    <w:div w:id="1095251303">
      <w:bodyDiv w:val="1"/>
      <w:marLeft w:val="0"/>
      <w:marRight w:val="0"/>
      <w:marTop w:val="0"/>
      <w:marBottom w:val="0"/>
      <w:divBdr>
        <w:top w:val="none" w:sz="0" w:space="0" w:color="auto"/>
        <w:left w:val="none" w:sz="0" w:space="0" w:color="auto"/>
        <w:bottom w:val="none" w:sz="0" w:space="0" w:color="auto"/>
        <w:right w:val="none" w:sz="0" w:space="0" w:color="auto"/>
      </w:divBdr>
    </w:div>
    <w:div w:id="1163198700">
      <w:bodyDiv w:val="1"/>
      <w:marLeft w:val="0"/>
      <w:marRight w:val="0"/>
      <w:marTop w:val="0"/>
      <w:marBottom w:val="0"/>
      <w:divBdr>
        <w:top w:val="none" w:sz="0" w:space="0" w:color="auto"/>
        <w:left w:val="none" w:sz="0" w:space="0" w:color="auto"/>
        <w:bottom w:val="none" w:sz="0" w:space="0" w:color="auto"/>
        <w:right w:val="none" w:sz="0" w:space="0" w:color="auto"/>
      </w:divBdr>
    </w:div>
    <w:div w:id="181502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fomil.nl/onderwerpen/duurzaamheid-energie/energiebesparing/vragen-antwoorden/activiteitenbesluit" TargetMode="External"/><Relationship Id="rId18" Type="http://schemas.openxmlformats.org/officeDocument/2006/relationships/hyperlink" Target="https://www.internetconsultatie.nl/regeling_sup_single_use_plastic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plo.nl/regelgeving/" TargetMode="External"/><Relationship Id="rId17" Type="http://schemas.openxmlformats.org/officeDocument/2006/relationships/hyperlink" Target="https://ondernemersplein.kvk.nl/afvalwijzer-voor-bedrijven" TargetMode="External"/><Relationship Id="rId2" Type="http://schemas.openxmlformats.org/officeDocument/2006/relationships/customXml" Target="../customXml/item2.xml"/><Relationship Id="rId16" Type="http://schemas.openxmlformats.org/officeDocument/2006/relationships/hyperlink" Target="https://www.rijksoverheid.nl/onderwerpen/water/vraag-en-antwoord/hoe-weet-ik-of-de-waterkwaliteit-in-zwembaden-goed-i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nfomil.nl/onderwerpen/lucht-water/legionella/drinkwate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vwa.nl/onderwerpen/speeltoestellen/warenwetbesluit-attractie-en-speeltoestel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vo.nl/onderwerpen/duurzaam-ondernemen/energie-besparen/europese-energie-efficiency-richtlijn-eed/energie-audit-eed"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8BD13EEDDAF7499EC745562903D409" ma:contentTypeVersion="13" ma:contentTypeDescription="Een nieuw document maken." ma:contentTypeScope="" ma:versionID="7d3d237b2a6ab1089d04fc3a943bb423">
  <xsd:schema xmlns:xsd="http://www.w3.org/2001/XMLSchema" xmlns:xs="http://www.w3.org/2001/XMLSchema" xmlns:p="http://schemas.microsoft.com/office/2006/metadata/properties" xmlns:ns2="b7995b5d-a1f8-42b5-918b-3e2dc741a328" xmlns:ns3="d88bf321-b758-481b-a4e9-17fd660b94bc" targetNamespace="http://schemas.microsoft.com/office/2006/metadata/properties" ma:root="true" ma:fieldsID="408cd9a7ec14bea59998ac922e50a4ff" ns2:_="" ns3:_="">
    <xsd:import namespace="b7995b5d-a1f8-42b5-918b-3e2dc741a328"/>
    <xsd:import namespace="d88bf321-b758-481b-a4e9-17fd660b9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95b5d-a1f8-42b5-918b-3e2dc741a3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8bf321-b758-481b-a4e9-17fd660b94b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4F7B7-D0FF-4FBD-8D53-BB85D5D39D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A8E938-840A-4392-B841-AE426D74F868}">
  <ds:schemaRefs>
    <ds:schemaRef ds:uri="http://schemas.openxmlformats.org/officeDocument/2006/bibliography"/>
  </ds:schemaRefs>
</ds:datastoreItem>
</file>

<file path=customXml/itemProps3.xml><?xml version="1.0" encoding="utf-8"?>
<ds:datastoreItem xmlns:ds="http://schemas.openxmlformats.org/officeDocument/2006/customXml" ds:itemID="{6E17ED87-A1A1-4F78-8F60-991DA4E9C422}">
  <ds:schemaRefs>
    <ds:schemaRef ds:uri="http://schemas.microsoft.com/sharepoint/v3/contenttype/forms"/>
  </ds:schemaRefs>
</ds:datastoreItem>
</file>

<file path=customXml/itemProps4.xml><?xml version="1.0" encoding="utf-8"?>
<ds:datastoreItem xmlns:ds="http://schemas.openxmlformats.org/officeDocument/2006/customXml" ds:itemID="{CDA863F6-00A2-429A-B7ED-FE80B9C04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95b5d-a1f8-42b5-918b-3e2dc741a328"/>
    <ds:schemaRef ds:uri="d88bf321-b758-481b-a4e9-17fd660b9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1114</Words>
  <Characters>6350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Oosting;Hurenkamp</dc:creator>
  <cp:lastModifiedBy>Laska Hurenkamp</cp:lastModifiedBy>
  <cp:revision>5</cp:revision>
  <cp:lastPrinted>2017-02-06T09:39:00Z</cp:lastPrinted>
  <dcterms:created xsi:type="dcterms:W3CDTF">2024-03-12T08:26:00Z</dcterms:created>
  <dcterms:modified xsi:type="dcterms:W3CDTF">2024-03-12T08:30:00Z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0x010100318BD13EEDDAF7499EC745562903D409</vt:lpwstr>
  </property>
</Properties>
</file>